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2C11" w14:textId="2B162D0B" w:rsidR="00271BC4" w:rsidRPr="00FA65AC" w:rsidRDefault="006E2F99" w:rsidP="00271BC4">
      <w:pPr>
        <w:spacing w:after="0" w:line="240" w:lineRule="auto"/>
        <w:rPr>
          <w:rFonts w:ascii="Verdana" w:hAnsi="Verdana"/>
          <w:b/>
          <w:bCs/>
          <w:sz w:val="24"/>
          <w:szCs w:val="24"/>
        </w:rPr>
      </w:pPr>
      <w:r w:rsidRPr="00FA65AC">
        <w:rPr>
          <w:rFonts w:ascii="Verdana" w:hAnsi="Verdana"/>
          <w:b/>
          <w:bCs/>
          <w:sz w:val="24"/>
          <w:szCs w:val="24"/>
        </w:rPr>
        <w:t>Autumn Statement</w:t>
      </w:r>
      <w:r w:rsidR="003038D4" w:rsidRPr="00FA65AC">
        <w:rPr>
          <w:rFonts w:ascii="Verdana" w:hAnsi="Verdana"/>
          <w:b/>
          <w:bCs/>
          <w:sz w:val="24"/>
          <w:szCs w:val="24"/>
        </w:rPr>
        <w:t xml:space="preserve"> 2022</w:t>
      </w:r>
    </w:p>
    <w:p w14:paraId="50889EE8" w14:textId="47E6C776" w:rsidR="00271BC4" w:rsidRPr="00B16CF8" w:rsidRDefault="00474BA5" w:rsidP="00271BC4">
      <w:pPr>
        <w:spacing w:after="0" w:line="240" w:lineRule="auto"/>
        <w:rPr>
          <w:rFonts w:ascii="Verdana" w:hAnsi="Verdana"/>
          <w:b/>
          <w:bCs/>
          <w:sz w:val="20"/>
          <w:szCs w:val="20"/>
        </w:rPr>
      </w:pPr>
      <w:r>
        <w:rPr>
          <w:rFonts w:ascii="Verdana" w:hAnsi="Verdana"/>
          <w:b/>
          <w:bCs/>
        </w:rPr>
        <w:t>B</w:t>
      </w:r>
      <w:r w:rsidR="0097637C">
        <w:rPr>
          <w:rFonts w:ascii="Verdana" w:hAnsi="Verdana"/>
          <w:b/>
          <w:bCs/>
        </w:rPr>
        <w:t xml:space="preserve">riefing for Parliamentarians </w:t>
      </w:r>
    </w:p>
    <w:p w14:paraId="52534E95" w14:textId="56F73D36" w:rsidR="00271BC4" w:rsidRDefault="00474BA5" w:rsidP="00271BC4">
      <w:pPr>
        <w:spacing w:after="0" w:line="240" w:lineRule="auto"/>
        <w:rPr>
          <w:rFonts w:ascii="Verdana" w:hAnsi="Verdana"/>
          <w:b/>
          <w:bCs/>
        </w:rPr>
      </w:pPr>
      <w:r>
        <w:rPr>
          <w:rFonts w:ascii="Verdana" w:hAnsi="Verdana"/>
          <w:b/>
          <w:bCs/>
        </w:rPr>
        <w:t>Cost of living and the low uptake of Pension Credit</w:t>
      </w:r>
    </w:p>
    <w:p w14:paraId="341023DA" w14:textId="77777777" w:rsidR="00474BA5" w:rsidRDefault="00474BA5" w:rsidP="00271BC4">
      <w:pPr>
        <w:spacing w:after="0" w:line="240" w:lineRule="auto"/>
        <w:rPr>
          <w:rFonts w:ascii="Verdana" w:hAnsi="Verdana"/>
          <w:sz w:val="20"/>
          <w:szCs w:val="20"/>
        </w:rPr>
      </w:pPr>
    </w:p>
    <w:p w14:paraId="2A536EEB" w14:textId="2D633775" w:rsidR="00271BC4" w:rsidRPr="00B16CF8" w:rsidRDefault="00271BC4" w:rsidP="00271BC4">
      <w:pPr>
        <w:spacing w:after="0" w:line="240" w:lineRule="auto"/>
        <w:rPr>
          <w:rFonts w:ascii="Verdana" w:hAnsi="Verdana"/>
          <w:b/>
          <w:bCs/>
          <w:sz w:val="20"/>
          <w:szCs w:val="20"/>
        </w:rPr>
      </w:pPr>
      <w:r w:rsidRPr="00B16CF8">
        <w:rPr>
          <w:rFonts w:ascii="Verdana" w:hAnsi="Verdana"/>
          <w:b/>
          <w:bCs/>
          <w:sz w:val="20"/>
          <w:szCs w:val="20"/>
        </w:rPr>
        <w:t xml:space="preserve">About Independent Age </w:t>
      </w:r>
    </w:p>
    <w:p w14:paraId="7AF0D24C" w14:textId="5FAF8F23" w:rsidR="00271BC4" w:rsidRDefault="00271BC4" w:rsidP="00271BC4">
      <w:pPr>
        <w:spacing w:after="0" w:line="240" w:lineRule="auto"/>
        <w:rPr>
          <w:rFonts w:ascii="Verdana" w:hAnsi="Verdana"/>
          <w:sz w:val="20"/>
          <w:szCs w:val="20"/>
        </w:rPr>
      </w:pPr>
      <w:r w:rsidRPr="00271BC4">
        <w:rPr>
          <w:rFonts w:ascii="Verdana" w:hAnsi="Verdana"/>
          <w:sz w:val="20"/>
          <w:szCs w:val="20"/>
        </w:rPr>
        <w:t xml:space="preserve">Independent Age is a national older people’s charity. We offer free and impartial advice and information, grants for community organisations, </w:t>
      </w:r>
      <w:r w:rsidR="005A2CAC">
        <w:rPr>
          <w:rFonts w:ascii="Verdana" w:hAnsi="Verdana"/>
          <w:sz w:val="20"/>
          <w:szCs w:val="20"/>
        </w:rPr>
        <w:t xml:space="preserve">and </w:t>
      </w:r>
      <w:r w:rsidRPr="00271BC4">
        <w:rPr>
          <w:rFonts w:ascii="Verdana" w:hAnsi="Verdana"/>
          <w:sz w:val="20"/>
          <w:szCs w:val="20"/>
        </w:rPr>
        <w:t xml:space="preserve">connection services to improve wellbeing and reduce loneliness. In addition, we use the knowledge and understanding gained from our frontline services to highlight the issues experienced by older people who are facing financial </w:t>
      </w:r>
      <w:r w:rsidR="1A44C82B" w:rsidRPr="457616A1">
        <w:rPr>
          <w:rFonts w:ascii="Verdana" w:hAnsi="Verdana"/>
          <w:sz w:val="20"/>
          <w:szCs w:val="20"/>
        </w:rPr>
        <w:t>hardship</w:t>
      </w:r>
      <w:r w:rsidR="0E235796" w:rsidRPr="457616A1">
        <w:rPr>
          <w:rFonts w:ascii="Verdana" w:hAnsi="Verdana"/>
          <w:sz w:val="20"/>
          <w:szCs w:val="20"/>
        </w:rPr>
        <w:t>.</w:t>
      </w:r>
    </w:p>
    <w:p w14:paraId="22CA378C" w14:textId="42C1AD3B" w:rsidR="00B16CF8" w:rsidRDefault="00B16CF8" w:rsidP="00271BC4">
      <w:pPr>
        <w:spacing w:after="0" w:line="240" w:lineRule="auto"/>
        <w:rPr>
          <w:rFonts w:ascii="Verdana" w:hAnsi="Verdana"/>
          <w:sz w:val="20"/>
          <w:szCs w:val="20"/>
        </w:rPr>
      </w:pPr>
    </w:p>
    <w:p w14:paraId="677200A1" w14:textId="6002B047" w:rsidR="00B16CF8" w:rsidRDefault="00010C3C" w:rsidP="00271BC4">
      <w:pPr>
        <w:spacing w:after="0" w:line="240" w:lineRule="auto"/>
        <w:rPr>
          <w:rFonts w:ascii="Verdana" w:hAnsi="Verdana"/>
          <w:b/>
          <w:bCs/>
          <w:sz w:val="20"/>
          <w:szCs w:val="20"/>
        </w:rPr>
      </w:pPr>
      <w:r>
        <w:rPr>
          <w:rFonts w:ascii="Verdana" w:hAnsi="Verdana"/>
          <w:b/>
          <w:bCs/>
          <w:sz w:val="20"/>
          <w:szCs w:val="20"/>
        </w:rPr>
        <w:t>Summary</w:t>
      </w:r>
      <w:r w:rsidR="003950BB">
        <w:rPr>
          <w:rFonts w:ascii="Verdana" w:hAnsi="Verdana"/>
          <w:b/>
          <w:bCs/>
          <w:sz w:val="20"/>
          <w:szCs w:val="20"/>
        </w:rPr>
        <w:t xml:space="preserve"> and key messages </w:t>
      </w:r>
    </w:p>
    <w:p w14:paraId="59B33479" w14:textId="7F10CCD8" w:rsidR="00C55658" w:rsidRPr="00C55658" w:rsidRDefault="00C55658" w:rsidP="00C55658">
      <w:pPr>
        <w:spacing w:after="0" w:line="240" w:lineRule="auto"/>
        <w:rPr>
          <w:rFonts w:ascii="Verdana" w:hAnsi="Verdana"/>
          <w:sz w:val="20"/>
          <w:szCs w:val="20"/>
        </w:rPr>
      </w:pPr>
      <w:r w:rsidRPr="00C55658">
        <w:rPr>
          <w:rFonts w:ascii="Verdana" w:hAnsi="Verdana"/>
          <w:sz w:val="20"/>
          <w:szCs w:val="20"/>
        </w:rPr>
        <w:t>As an organisation supporting older people on the lowest incomes, we want to ensure that every step is taken to quickly help those struggling to cope with the rising cost of living. Increases in costs</w:t>
      </w:r>
      <w:r w:rsidR="00CB0445">
        <w:rPr>
          <w:rFonts w:ascii="Verdana" w:hAnsi="Verdana"/>
          <w:sz w:val="20"/>
          <w:szCs w:val="20"/>
        </w:rPr>
        <w:t>,</w:t>
      </w:r>
      <w:r w:rsidRPr="00C55658">
        <w:rPr>
          <w:rFonts w:ascii="Verdana" w:hAnsi="Verdana"/>
          <w:sz w:val="20"/>
          <w:szCs w:val="20"/>
        </w:rPr>
        <w:t xml:space="preserve"> including food, rent, energy and water bills, mean that many of the people we take calls from are cutting back on their spending and may ration essentials to make ends meet. </w:t>
      </w:r>
    </w:p>
    <w:p w14:paraId="63A70A71" w14:textId="34DBA8B6" w:rsidR="78A93394" w:rsidRDefault="78A93394" w:rsidP="78A93394">
      <w:pPr>
        <w:spacing w:after="0" w:line="240" w:lineRule="auto"/>
        <w:rPr>
          <w:rFonts w:ascii="Verdana" w:hAnsi="Verdana"/>
          <w:sz w:val="20"/>
          <w:szCs w:val="20"/>
        </w:rPr>
      </w:pPr>
    </w:p>
    <w:p w14:paraId="4AB50EE4" w14:textId="20F545A9" w:rsidR="00C55658" w:rsidRDefault="33969818" w:rsidP="00EC48BF">
      <w:pPr>
        <w:spacing w:after="0" w:line="240" w:lineRule="auto"/>
        <w:rPr>
          <w:rFonts w:ascii="Verdana" w:hAnsi="Verdana"/>
          <w:i/>
          <w:iCs/>
          <w:sz w:val="20"/>
          <w:szCs w:val="20"/>
        </w:rPr>
      </w:pPr>
      <w:r w:rsidRPr="34F719E1">
        <w:rPr>
          <w:rFonts w:ascii="Verdana" w:hAnsi="Verdana"/>
          <w:i/>
          <w:iCs/>
          <w:sz w:val="20"/>
          <w:szCs w:val="20"/>
        </w:rPr>
        <w:t>Pension Credit really changed my life for the better. It meant I could eat better food, therefore be healthier and I could be warmer. I got other benefits too like help with my glasses and dental treatment. I started to live again. I expect there are many people today who don’t know about Pension Credit. The government needs to tell us what is available (Anisa</w:t>
      </w:r>
      <w:r w:rsidR="00F91D10">
        <w:rPr>
          <w:rFonts w:ascii="Verdana" w:hAnsi="Verdana"/>
          <w:i/>
          <w:iCs/>
          <w:sz w:val="20"/>
          <w:szCs w:val="20"/>
        </w:rPr>
        <w:t>h</w:t>
      </w:r>
      <w:r w:rsidRPr="34F719E1">
        <w:rPr>
          <w:rFonts w:ascii="Verdana" w:hAnsi="Verdana"/>
          <w:i/>
          <w:iCs/>
          <w:sz w:val="20"/>
          <w:szCs w:val="20"/>
        </w:rPr>
        <w:t>, 86)</w:t>
      </w:r>
    </w:p>
    <w:p w14:paraId="605AB4DE" w14:textId="77777777" w:rsidR="005F2A69" w:rsidRDefault="005F2A69" w:rsidP="00EC48BF">
      <w:pPr>
        <w:spacing w:after="0" w:line="240" w:lineRule="auto"/>
        <w:rPr>
          <w:rFonts w:ascii="Verdana" w:hAnsi="Verdana"/>
          <w:sz w:val="20"/>
          <w:szCs w:val="20"/>
        </w:rPr>
      </w:pPr>
    </w:p>
    <w:p w14:paraId="2D22D8E2" w14:textId="7C537B21" w:rsidR="00B25862" w:rsidRPr="005B38A2" w:rsidRDefault="00662F45" w:rsidP="00EC48BF">
      <w:pPr>
        <w:spacing w:after="0" w:line="240" w:lineRule="auto"/>
        <w:rPr>
          <w:rFonts w:ascii="Verdana" w:hAnsi="Verdana"/>
          <w:b/>
          <w:bCs/>
          <w:sz w:val="20"/>
          <w:szCs w:val="20"/>
        </w:rPr>
      </w:pPr>
      <w:r w:rsidRPr="005B38A2">
        <w:rPr>
          <w:rFonts w:ascii="Verdana" w:hAnsi="Verdana"/>
          <w:b/>
          <w:bCs/>
          <w:sz w:val="20"/>
          <w:szCs w:val="20"/>
        </w:rPr>
        <w:t>The</w:t>
      </w:r>
      <w:r w:rsidR="00EC48BF" w:rsidRPr="00EC48BF">
        <w:rPr>
          <w:rFonts w:ascii="Verdana" w:hAnsi="Verdana"/>
          <w:b/>
          <w:bCs/>
          <w:sz w:val="20"/>
          <w:szCs w:val="20"/>
        </w:rPr>
        <w:t xml:space="preserve"> Autumn Statement </w:t>
      </w:r>
      <w:r w:rsidRPr="005B38A2">
        <w:rPr>
          <w:rFonts w:ascii="Verdana" w:hAnsi="Verdana"/>
          <w:b/>
          <w:bCs/>
          <w:sz w:val="20"/>
          <w:szCs w:val="20"/>
        </w:rPr>
        <w:t>is</w:t>
      </w:r>
      <w:r w:rsidR="00EC48BF" w:rsidRPr="00EC48BF">
        <w:rPr>
          <w:rFonts w:ascii="Verdana" w:hAnsi="Verdana"/>
          <w:b/>
          <w:bCs/>
          <w:sz w:val="20"/>
          <w:szCs w:val="20"/>
        </w:rPr>
        <w:t xml:space="preserve"> a cr</w:t>
      </w:r>
      <w:r w:rsidR="00AE0DC7" w:rsidRPr="005B38A2">
        <w:rPr>
          <w:rFonts w:ascii="Verdana" w:hAnsi="Verdana"/>
          <w:b/>
          <w:bCs/>
          <w:sz w:val="20"/>
          <w:szCs w:val="20"/>
        </w:rPr>
        <w:t>ucial</w:t>
      </w:r>
      <w:r w:rsidR="00EC48BF" w:rsidRPr="00EC48BF">
        <w:rPr>
          <w:rFonts w:ascii="Verdana" w:hAnsi="Verdana"/>
          <w:b/>
          <w:bCs/>
          <w:sz w:val="20"/>
          <w:szCs w:val="20"/>
        </w:rPr>
        <w:t xml:space="preserve"> opportunity for the </w:t>
      </w:r>
      <w:r w:rsidRPr="005B38A2">
        <w:rPr>
          <w:rFonts w:ascii="Verdana" w:hAnsi="Verdana"/>
          <w:b/>
          <w:bCs/>
          <w:sz w:val="20"/>
          <w:szCs w:val="20"/>
        </w:rPr>
        <w:t>g</w:t>
      </w:r>
      <w:r w:rsidR="00EC48BF" w:rsidRPr="00EC48BF">
        <w:rPr>
          <w:rFonts w:ascii="Verdana" w:hAnsi="Verdana"/>
          <w:b/>
          <w:bCs/>
          <w:sz w:val="20"/>
          <w:szCs w:val="20"/>
        </w:rPr>
        <w:t>overnment to</w:t>
      </w:r>
      <w:r w:rsidR="00CF4E29" w:rsidRPr="005B38A2">
        <w:rPr>
          <w:rFonts w:ascii="Verdana" w:hAnsi="Verdana"/>
          <w:b/>
          <w:bCs/>
          <w:sz w:val="20"/>
          <w:szCs w:val="20"/>
        </w:rPr>
        <w:t>:</w:t>
      </w:r>
      <w:r w:rsidR="00EC48BF" w:rsidRPr="00EC48BF">
        <w:rPr>
          <w:rFonts w:ascii="Verdana" w:hAnsi="Verdana"/>
          <w:b/>
          <w:bCs/>
          <w:sz w:val="20"/>
          <w:szCs w:val="20"/>
        </w:rPr>
        <w:t xml:space="preserve"> </w:t>
      </w:r>
    </w:p>
    <w:p w14:paraId="23FBA60D" w14:textId="5B49CAFE" w:rsidR="00EC48BF" w:rsidRDefault="00776136" w:rsidP="009B7E3C">
      <w:pPr>
        <w:pStyle w:val="ListParagraph"/>
        <w:numPr>
          <w:ilvl w:val="0"/>
          <w:numId w:val="14"/>
        </w:numPr>
        <w:spacing w:after="0" w:line="240" w:lineRule="auto"/>
        <w:rPr>
          <w:rFonts w:ascii="Verdana" w:hAnsi="Verdana"/>
          <w:sz w:val="20"/>
          <w:szCs w:val="20"/>
        </w:rPr>
      </w:pPr>
      <w:r>
        <w:rPr>
          <w:rFonts w:ascii="Verdana" w:hAnsi="Verdana"/>
          <w:sz w:val="20"/>
          <w:szCs w:val="20"/>
        </w:rPr>
        <w:t>E</w:t>
      </w:r>
      <w:r w:rsidR="00EC48BF" w:rsidRPr="00CE66ED">
        <w:rPr>
          <w:rFonts w:ascii="Verdana" w:hAnsi="Verdana"/>
          <w:sz w:val="20"/>
          <w:szCs w:val="20"/>
        </w:rPr>
        <w:t>nsur</w:t>
      </w:r>
      <w:r>
        <w:rPr>
          <w:rFonts w:ascii="Verdana" w:hAnsi="Verdana"/>
          <w:sz w:val="20"/>
          <w:szCs w:val="20"/>
        </w:rPr>
        <w:t>e</w:t>
      </w:r>
      <w:r w:rsidR="00EC48BF" w:rsidRPr="00CE66ED">
        <w:rPr>
          <w:rFonts w:ascii="Verdana" w:hAnsi="Verdana"/>
          <w:sz w:val="20"/>
          <w:szCs w:val="20"/>
        </w:rPr>
        <w:t xml:space="preserve"> </w:t>
      </w:r>
      <w:r w:rsidR="00B175FA" w:rsidRPr="00CE66ED">
        <w:rPr>
          <w:rFonts w:ascii="Verdana" w:hAnsi="Verdana"/>
          <w:sz w:val="20"/>
          <w:szCs w:val="20"/>
        </w:rPr>
        <w:t xml:space="preserve">that </w:t>
      </w:r>
      <w:r w:rsidR="003A1593" w:rsidRPr="00CE66ED">
        <w:rPr>
          <w:rFonts w:ascii="Verdana" w:hAnsi="Verdana"/>
          <w:sz w:val="20"/>
          <w:szCs w:val="20"/>
        </w:rPr>
        <w:t xml:space="preserve">the State Pension and </w:t>
      </w:r>
      <w:r w:rsidR="00EC48BF" w:rsidRPr="00CE66ED">
        <w:rPr>
          <w:rFonts w:ascii="Verdana" w:hAnsi="Verdana"/>
          <w:sz w:val="20"/>
          <w:szCs w:val="20"/>
        </w:rPr>
        <w:t xml:space="preserve">benefits keep </w:t>
      </w:r>
      <w:r w:rsidR="003A1593" w:rsidRPr="00CE66ED">
        <w:rPr>
          <w:rFonts w:ascii="Verdana" w:hAnsi="Verdana"/>
          <w:sz w:val="20"/>
          <w:szCs w:val="20"/>
        </w:rPr>
        <w:t>pace</w:t>
      </w:r>
      <w:r w:rsidR="00EC48BF" w:rsidRPr="00CE66ED">
        <w:rPr>
          <w:rFonts w:ascii="Verdana" w:hAnsi="Verdana"/>
          <w:sz w:val="20"/>
          <w:szCs w:val="20"/>
        </w:rPr>
        <w:t xml:space="preserve"> with the real cost of living</w:t>
      </w:r>
      <w:r w:rsidR="003A1593" w:rsidRPr="00CE66ED">
        <w:rPr>
          <w:rFonts w:ascii="Verdana" w:hAnsi="Verdana"/>
          <w:sz w:val="20"/>
          <w:szCs w:val="20"/>
        </w:rPr>
        <w:t xml:space="preserve"> by uprating them in line with inflation</w:t>
      </w:r>
      <w:r>
        <w:rPr>
          <w:rFonts w:ascii="Verdana" w:hAnsi="Verdana"/>
          <w:sz w:val="20"/>
          <w:szCs w:val="20"/>
        </w:rPr>
        <w:t>.</w:t>
      </w:r>
      <w:r w:rsidR="00EC48BF" w:rsidRPr="00CE66ED">
        <w:rPr>
          <w:rFonts w:ascii="Verdana" w:hAnsi="Verdana"/>
          <w:sz w:val="20"/>
          <w:szCs w:val="20"/>
        </w:rPr>
        <w:t xml:space="preserve"> </w:t>
      </w:r>
    </w:p>
    <w:p w14:paraId="688A025E" w14:textId="75855C31" w:rsidR="00CE66ED" w:rsidRDefault="00776136" w:rsidP="009B7E3C">
      <w:pPr>
        <w:pStyle w:val="ListParagraph"/>
        <w:numPr>
          <w:ilvl w:val="0"/>
          <w:numId w:val="14"/>
        </w:numPr>
        <w:spacing w:after="0" w:line="240" w:lineRule="auto"/>
        <w:rPr>
          <w:rFonts w:ascii="Verdana" w:hAnsi="Verdana"/>
          <w:sz w:val="20"/>
          <w:szCs w:val="20"/>
        </w:rPr>
      </w:pPr>
      <w:r>
        <w:rPr>
          <w:rFonts w:ascii="Verdana" w:hAnsi="Verdana"/>
          <w:sz w:val="20"/>
          <w:szCs w:val="20"/>
        </w:rPr>
        <w:t>U</w:t>
      </w:r>
      <w:r w:rsidR="001833EC">
        <w:rPr>
          <w:rFonts w:ascii="Verdana" w:hAnsi="Verdana"/>
          <w:sz w:val="20"/>
          <w:szCs w:val="20"/>
        </w:rPr>
        <w:t xml:space="preserve">rgently set out further </w:t>
      </w:r>
      <w:r w:rsidR="001833EC" w:rsidRPr="001833EC">
        <w:rPr>
          <w:rFonts w:ascii="Verdana" w:hAnsi="Verdana"/>
          <w:sz w:val="20"/>
          <w:szCs w:val="20"/>
        </w:rPr>
        <w:t xml:space="preserve">support </w:t>
      </w:r>
      <w:r w:rsidR="3DB8B27F" w:rsidRPr="400F6A0A">
        <w:rPr>
          <w:rFonts w:ascii="Verdana" w:hAnsi="Verdana"/>
          <w:sz w:val="20"/>
          <w:szCs w:val="20"/>
        </w:rPr>
        <w:t xml:space="preserve">to address </w:t>
      </w:r>
      <w:r w:rsidR="001833EC" w:rsidRPr="001833EC">
        <w:rPr>
          <w:rFonts w:ascii="Verdana" w:hAnsi="Verdana"/>
          <w:sz w:val="20"/>
          <w:szCs w:val="20"/>
        </w:rPr>
        <w:t xml:space="preserve">the cost-of-living crisis </w:t>
      </w:r>
      <w:r w:rsidR="00CA1457">
        <w:rPr>
          <w:rFonts w:ascii="Verdana" w:hAnsi="Verdana"/>
          <w:sz w:val="20"/>
          <w:szCs w:val="20"/>
        </w:rPr>
        <w:t xml:space="preserve">from April 2023 </w:t>
      </w:r>
      <w:r w:rsidR="001833EC">
        <w:rPr>
          <w:rFonts w:ascii="Verdana" w:hAnsi="Verdana"/>
          <w:sz w:val="20"/>
          <w:szCs w:val="20"/>
        </w:rPr>
        <w:t>for</w:t>
      </w:r>
      <w:r w:rsidR="001833EC" w:rsidRPr="001833EC">
        <w:rPr>
          <w:rFonts w:ascii="Verdana" w:hAnsi="Verdana"/>
          <w:sz w:val="20"/>
          <w:szCs w:val="20"/>
        </w:rPr>
        <w:t xml:space="preserve"> older people living in financial hardship</w:t>
      </w:r>
      <w:r w:rsidR="001833EC">
        <w:rPr>
          <w:rFonts w:ascii="Verdana" w:hAnsi="Verdana"/>
          <w:sz w:val="20"/>
          <w:szCs w:val="20"/>
        </w:rPr>
        <w:t>,</w:t>
      </w:r>
      <w:r w:rsidR="001833EC" w:rsidRPr="001833EC">
        <w:rPr>
          <w:rFonts w:ascii="Verdana" w:hAnsi="Verdana"/>
          <w:sz w:val="20"/>
          <w:szCs w:val="20"/>
        </w:rPr>
        <w:t xml:space="preserve"> includ</w:t>
      </w:r>
      <w:r w:rsidR="001833EC">
        <w:rPr>
          <w:rFonts w:ascii="Verdana" w:hAnsi="Verdana"/>
          <w:sz w:val="20"/>
          <w:szCs w:val="20"/>
        </w:rPr>
        <w:t>ing</w:t>
      </w:r>
      <w:r w:rsidR="001833EC" w:rsidRPr="001833EC">
        <w:rPr>
          <w:rFonts w:ascii="Verdana" w:hAnsi="Verdana"/>
          <w:sz w:val="20"/>
          <w:szCs w:val="20"/>
        </w:rPr>
        <w:t xml:space="preserve"> the 850,000 older households entitled to Pension Credit but not receiving it.</w:t>
      </w:r>
    </w:p>
    <w:p w14:paraId="57581B92" w14:textId="5B00162B" w:rsidR="00CC0B42" w:rsidRDefault="00776136" w:rsidP="009B7E3C">
      <w:pPr>
        <w:pStyle w:val="ListParagraph"/>
        <w:numPr>
          <w:ilvl w:val="0"/>
          <w:numId w:val="14"/>
        </w:numPr>
        <w:spacing w:after="0" w:line="240" w:lineRule="auto"/>
        <w:rPr>
          <w:rFonts w:ascii="Verdana" w:hAnsi="Verdana"/>
          <w:sz w:val="20"/>
          <w:szCs w:val="20"/>
        </w:rPr>
      </w:pPr>
      <w:r>
        <w:rPr>
          <w:rFonts w:ascii="Verdana" w:hAnsi="Verdana"/>
          <w:sz w:val="20"/>
          <w:szCs w:val="20"/>
        </w:rPr>
        <w:t>M</w:t>
      </w:r>
      <w:r w:rsidR="00CC0B42" w:rsidRPr="00CC0B42">
        <w:rPr>
          <w:rFonts w:ascii="Verdana" w:hAnsi="Verdana"/>
          <w:sz w:val="20"/>
          <w:szCs w:val="20"/>
        </w:rPr>
        <w:t xml:space="preserve">aximise the impact of existing welfare policies, including Pension Credit, to ensure that </w:t>
      </w:r>
      <w:r w:rsidR="00CA1457">
        <w:rPr>
          <w:rFonts w:ascii="Verdana" w:hAnsi="Verdana"/>
          <w:sz w:val="20"/>
          <w:szCs w:val="20"/>
        </w:rPr>
        <w:t>government support is reaching</w:t>
      </w:r>
      <w:r w:rsidR="00CC0B42" w:rsidRPr="00CC0B42">
        <w:rPr>
          <w:rFonts w:ascii="Verdana" w:hAnsi="Verdana"/>
          <w:sz w:val="20"/>
          <w:szCs w:val="20"/>
        </w:rPr>
        <w:t xml:space="preserve"> people living on the lowest incomes.</w:t>
      </w:r>
    </w:p>
    <w:p w14:paraId="36AC68FB" w14:textId="77777777" w:rsidR="00160ABE" w:rsidRDefault="00160ABE" w:rsidP="00271BC4">
      <w:pPr>
        <w:spacing w:after="0" w:line="240" w:lineRule="auto"/>
        <w:rPr>
          <w:rFonts w:ascii="Verdana" w:hAnsi="Verdana"/>
          <w:b/>
          <w:bCs/>
          <w:sz w:val="20"/>
          <w:szCs w:val="20"/>
        </w:rPr>
      </w:pPr>
    </w:p>
    <w:p w14:paraId="57E9616C" w14:textId="77777777" w:rsidR="00EE75AA" w:rsidRPr="00EE75AA" w:rsidRDefault="00EE75AA" w:rsidP="00271BC4">
      <w:pPr>
        <w:spacing w:after="0" w:line="240" w:lineRule="auto"/>
        <w:rPr>
          <w:rFonts w:ascii="Verdana" w:hAnsi="Verdana"/>
          <w:b/>
          <w:bCs/>
          <w:i/>
          <w:iCs/>
          <w:sz w:val="20"/>
          <w:szCs w:val="20"/>
        </w:rPr>
      </w:pPr>
      <w:r w:rsidRPr="00EE75AA">
        <w:rPr>
          <w:rFonts w:ascii="Verdana" w:hAnsi="Verdana"/>
          <w:b/>
          <w:bCs/>
          <w:i/>
          <w:iCs/>
          <w:sz w:val="20"/>
          <w:szCs w:val="20"/>
        </w:rPr>
        <w:t>Low uptake of Pension Credit</w:t>
      </w:r>
    </w:p>
    <w:p w14:paraId="1B1F9331" w14:textId="105DC9E2" w:rsidR="00B16CF8" w:rsidRDefault="00B16CF8" w:rsidP="00271BC4">
      <w:pPr>
        <w:spacing w:after="0" w:line="240" w:lineRule="auto"/>
        <w:rPr>
          <w:rFonts w:ascii="Verdana" w:hAnsi="Verdana"/>
          <w:sz w:val="20"/>
          <w:szCs w:val="20"/>
        </w:rPr>
      </w:pPr>
      <w:r w:rsidRPr="00B16CF8">
        <w:rPr>
          <w:rFonts w:ascii="Verdana" w:hAnsi="Verdana"/>
          <w:sz w:val="20"/>
          <w:szCs w:val="20"/>
        </w:rPr>
        <w:t>Pension Credit is designed to bring people’s income up to a basic minimum level</w:t>
      </w:r>
      <w:r w:rsidR="00CA1457">
        <w:rPr>
          <w:rFonts w:ascii="Verdana" w:hAnsi="Verdana"/>
          <w:sz w:val="20"/>
          <w:szCs w:val="20"/>
        </w:rPr>
        <w:t>.</w:t>
      </w:r>
      <w:r w:rsidRPr="00B16CF8">
        <w:rPr>
          <w:rFonts w:ascii="Verdana" w:hAnsi="Verdana"/>
          <w:sz w:val="20"/>
          <w:szCs w:val="20"/>
        </w:rPr>
        <w:t xml:space="preserve"> </w:t>
      </w:r>
      <w:r w:rsidR="00452D43">
        <w:rPr>
          <w:rFonts w:ascii="Verdana" w:hAnsi="Verdana"/>
          <w:sz w:val="20"/>
          <w:szCs w:val="20"/>
        </w:rPr>
        <w:t>At Independent Age</w:t>
      </w:r>
      <w:r w:rsidRPr="00B16CF8">
        <w:rPr>
          <w:rFonts w:ascii="Verdana" w:hAnsi="Verdana"/>
          <w:sz w:val="20"/>
          <w:szCs w:val="20"/>
        </w:rPr>
        <w:t xml:space="preserve"> we have seen the positive, sometimes life-changing, impact it can have on people’s lives. Yet uptake has been low since its introduction.</w:t>
      </w:r>
    </w:p>
    <w:p w14:paraId="1D417EA7" w14:textId="77777777" w:rsidR="00FD5689" w:rsidRDefault="00FD5689" w:rsidP="00271BC4">
      <w:pPr>
        <w:spacing w:after="0" w:line="240" w:lineRule="auto"/>
        <w:rPr>
          <w:rFonts w:ascii="Verdana" w:hAnsi="Verdana"/>
          <w:sz w:val="20"/>
          <w:szCs w:val="20"/>
        </w:rPr>
      </w:pPr>
    </w:p>
    <w:p w14:paraId="02DCE434" w14:textId="6A79C3AA" w:rsidR="00542EA8" w:rsidRDefault="00FD5689" w:rsidP="00C726E4">
      <w:pPr>
        <w:pStyle w:val="ListParagraph"/>
        <w:numPr>
          <w:ilvl w:val="0"/>
          <w:numId w:val="10"/>
        </w:numPr>
        <w:spacing w:after="0" w:line="240" w:lineRule="auto"/>
        <w:ind w:left="360"/>
        <w:rPr>
          <w:rFonts w:ascii="Verdana" w:hAnsi="Verdana"/>
          <w:b/>
          <w:bCs/>
          <w:sz w:val="20"/>
          <w:szCs w:val="20"/>
        </w:rPr>
      </w:pPr>
      <w:r w:rsidRPr="003950BB">
        <w:rPr>
          <w:rFonts w:ascii="Verdana" w:hAnsi="Verdana"/>
          <w:sz w:val="20"/>
          <w:szCs w:val="20"/>
        </w:rPr>
        <w:t>According to the latest published government figures</w:t>
      </w:r>
      <w:r w:rsidR="00342D9C" w:rsidRPr="003950BB">
        <w:rPr>
          <w:rFonts w:ascii="Verdana" w:hAnsi="Verdana"/>
          <w:sz w:val="20"/>
          <w:szCs w:val="20"/>
        </w:rPr>
        <w:t xml:space="preserve">, </w:t>
      </w:r>
      <w:r w:rsidR="000D6DEB" w:rsidRPr="003950BB">
        <w:rPr>
          <w:rFonts w:ascii="Verdana" w:hAnsi="Verdana"/>
          <w:b/>
          <w:bCs/>
          <w:sz w:val="20"/>
          <w:szCs w:val="20"/>
        </w:rPr>
        <w:t xml:space="preserve">850,000 people above State Pension age </w:t>
      </w:r>
      <w:r w:rsidR="00452D43">
        <w:rPr>
          <w:rFonts w:ascii="Verdana" w:hAnsi="Verdana"/>
          <w:b/>
          <w:bCs/>
          <w:sz w:val="20"/>
          <w:szCs w:val="20"/>
        </w:rPr>
        <w:t>are</w:t>
      </w:r>
      <w:r w:rsidR="000D6DEB" w:rsidRPr="003950BB">
        <w:rPr>
          <w:rFonts w:ascii="Verdana" w:hAnsi="Verdana"/>
          <w:b/>
          <w:bCs/>
          <w:sz w:val="20"/>
          <w:szCs w:val="20"/>
        </w:rPr>
        <w:t xml:space="preserve"> </w:t>
      </w:r>
      <w:r w:rsidR="000D6DEB" w:rsidRPr="003950BB" w:rsidDel="006A6102">
        <w:rPr>
          <w:rFonts w:ascii="Verdana" w:hAnsi="Verdana"/>
          <w:b/>
          <w:bCs/>
          <w:sz w:val="20"/>
          <w:szCs w:val="20"/>
        </w:rPr>
        <w:t>estimated to be</w:t>
      </w:r>
      <w:r w:rsidR="000D6DEB" w:rsidRPr="003950BB">
        <w:rPr>
          <w:rFonts w:ascii="Verdana" w:hAnsi="Verdana"/>
          <w:b/>
          <w:bCs/>
          <w:sz w:val="20"/>
          <w:szCs w:val="20"/>
        </w:rPr>
        <w:t xml:space="preserve"> missing out on Pension Credit</w:t>
      </w:r>
      <w:r w:rsidR="3496033B" w:rsidRPr="003950BB">
        <w:rPr>
          <w:rFonts w:ascii="Verdana" w:hAnsi="Verdana"/>
          <w:b/>
          <w:bCs/>
          <w:sz w:val="20"/>
          <w:szCs w:val="20"/>
        </w:rPr>
        <w:t xml:space="preserve"> they are entitled to</w:t>
      </w:r>
      <w:r w:rsidR="007703B9" w:rsidRPr="007703B9">
        <w:rPr>
          <w:rFonts w:cs="Times New Roman"/>
          <w:vertAlign w:val="superscript"/>
        </w:rPr>
        <w:endnoteReference w:id="2"/>
      </w:r>
      <w:r w:rsidR="000D6DEB" w:rsidRPr="003950BB">
        <w:rPr>
          <w:rFonts w:ascii="Verdana" w:hAnsi="Verdana"/>
          <w:b/>
          <w:bCs/>
          <w:sz w:val="20"/>
          <w:szCs w:val="20"/>
        </w:rPr>
        <w:t xml:space="preserve">. </w:t>
      </w:r>
    </w:p>
    <w:p w14:paraId="6B293BA6" w14:textId="77777777" w:rsidR="00542EA8" w:rsidRDefault="00542EA8" w:rsidP="00C726E4">
      <w:pPr>
        <w:pStyle w:val="ListParagraph"/>
        <w:spacing w:after="0" w:line="240" w:lineRule="auto"/>
        <w:ind w:left="360"/>
        <w:rPr>
          <w:rFonts w:ascii="Verdana" w:hAnsi="Verdana"/>
          <w:b/>
          <w:bCs/>
          <w:sz w:val="20"/>
          <w:szCs w:val="20"/>
        </w:rPr>
      </w:pPr>
    </w:p>
    <w:p w14:paraId="67788A3B" w14:textId="317C1D35" w:rsidR="00FD5689" w:rsidRPr="003950BB" w:rsidRDefault="00542EA8" w:rsidP="00C726E4">
      <w:pPr>
        <w:pStyle w:val="ListParagraph"/>
        <w:numPr>
          <w:ilvl w:val="0"/>
          <w:numId w:val="10"/>
        </w:numPr>
        <w:spacing w:after="0" w:line="240" w:lineRule="auto"/>
        <w:ind w:left="360"/>
        <w:rPr>
          <w:rFonts w:ascii="Verdana" w:hAnsi="Verdana"/>
          <w:b/>
          <w:bCs/>
          <w:sz w:val="20"/>
          <w:szCs w:val="20"/>
        </w:rPr>
      </w:pPr>
      <w:r w:rsidRPr="00271BC4">
        <w:rPr>
          <w:rFonts w:ascii="Verdana" w:hAnsi="Verdana"/>
          <w:sz w:val="20"/>
          <w:szCs w:val="20"/>
        </w:rPr>
        <w:t xml:space="preserve">In the last 10 years, roughly </w:t>
      </w:r>
      <w:r w:rsidRPr="005228A8">
        <w:rPr>
          <w:rFonts w:ascii="Verdana" w:hAnsi="Verdana"/>
          <w:b/>
          <w:bCs/>
          <w:sz w:val="20"/>
          <w:szCs w:val="20"/>
        </w:rPr>
        <w:t>£28 billion in Pension Credit has failed to reach those who are entitled to it</w:t>
      </w:r>
      <w:r w:rsidRPr="00271BC4">
        <w:rPr>
          <w:rFonts w:ascii="Verdana" w:hAnsi="Verdana"/>
          <w:sz w:val="20"/>
          <w:szCs w:val="20"/>
        </w:rPr>
        <w:t>.</w:t>
      </w:r>
    </w:p>
    <w:p w14:paraId="019C81FE" w14:textId="77777777" w:rsidR="00D512A3" w:rsidRDefault="00D512A3" w:rsidP="00C726E4">
      <w:pPr>
        <w:spacing w:after="0" w:line="240" w:lineRule="auto"/>
        <w:rPr>
          <w:rFonts w:ascii="Verdana" w:hAnsi="Verdana"/>
          <w:b/>
          <w:bCs/>
          <w:sz w:val="20"/>
          <w:szCs w:val="20"/>
        </w:rPr>
      </w:pPr>
    </w:p>
    <w:p w14:paraId="6A6C26B9" w14:textId="67560A8B" w:rsidR="007703B9" w:rsidRDefault="00DB6324" w:rsidP="00C726E4">
      <w:pPr>
        <w:pStyle w:val="ListParagraph"/>
        <w:numPr>
          <w:ilvl w:val="0"/>
          <w:numId w:val="10"/>
        </w:numPr>
        <w:spacing w:after="0" w:line="240" w:lineRule="auto"/>
        <w:ind w:left="360"/>
        <w:rPr>
          <w:rFonts w:ascii="Verdana" w:hAnsi="Verdana"/>
          <w:sz w:val="20"/>
          <w:szCs w:val="20"/>
        </w:rPr>
      </w:pPr>
      <w:r w:rsidRPr="003950BB">
        <w:rPr>
          <w:rFonts w:ascii="Verdana" w:hAnsi="Verdana"/>
          <w:sz w:val="20"/>
          <w:szCs w:val="20"/>
        </w:rPr>
        <w:t>Receiving Pension Credit can be worth more than £3,300 per year</w:t>
      </w:r>
      <w:r w:rsidR="00875C8D">
        <w:rPr>
          <w:rStyle w:val="EndnoteReference"/>
          <w:rFonts w:ascii="Verdana" w:hAnsi="Verdana"/>
          <w:sz w:val="20"/>
          <w:szCs w:val="20"/>
        </w:rPr>
        <w:endnoteReference w:id="3"/>
      </w:r>
      <w:r w:rsidRPr="003950BB">
        <w:rPr>
          <w:rFonts w:ascii="Verdana" w:hAnsi="Verdana"/>
          <w:sz w:val="20"/>
          <w:szCs w:val="20"/>
        </w:rPr>
        <w:t xml:space="preserve"> by itself and can be a gateway to up to £8,000</w:t>
      </w:r>
      <w:r w:rsidR="00EE316A">
        <w:rPr>
          <w:rStyle w:val="EndnoteReference"/>
          <w:rFonts w:ascii="Verdana" w:hAnsi="Verdana"/>
          <w:sz w:val="20"/>
          <w:szCs w:val="20"/>
        </w:rPr>
        <w:endnoteReference w:id="4"/>
      </w:r>
      <w:r w:rsidRPr="003950BB">
        <w:rPr>
          <w:rFonts w:ascii="Verdana" w:hAnsi="Verdana"/>
          <w:sz w:val="20"/>
          <w:szCs w:val="20"/>
        </w:rPr>
        <w:t xml:space="preserve"> in additional support</w:t>
      </w:r>
      <w:r w:rsidR="5854EE34" w:rsidRPr="0BD5E339">
        <w:rPr>
          <w:rFonts w:ascii="Verdana" w:hAnsi="Verdana"/>
          <w:sz w:val="20"/>
          <w:szCs w:val="20"/>
        </w:rPr>
        <w:t xml:space="preserve"> </w:t>
      </w:r>
      <w:r w:rsidR="5854EE34" w:rsidRPr="1A3676CD">
        <w:rPr>
          <w:rFonts w:ascii="Verdana" w:hAnsi="Verdana"/>
          <w:sz w:val="20"/>
          <w:szCs w:val="20"/>
        </w:rPr>
        <w:t>through things like Council</w:t>
      </w:r>
      <w:r w:rsidR="5854EE34" w:rsidRPr="6B75DF8C">
        <w:rPr>
          <w:rFonts w:ascii="Verdana" w:hAnsi="Verdana"/>
          <w:sz w:val="20"/>
          <w:szCs w:val="20"/>
        </w:rPr>
        <w:t xml:space="preserve"> Tax Reduction, a free</w:t>
      </w:r>
      <w:r w:rsidR="5854EE34" w:rsidRPr="0EC7F594">
        <w:rPr>
          <w:rFonts w:ascii="Verdana" w:hAnsi="Verdana"/>
          <w:sz w:val="20"/>
          <w:szCs w:val="20"/>
        </w:rPr>
        <w:t xml:space="preserve"> TV license, free </w:t>
      </w:r>
      <w:r w:rsidR="5854EE34" w:rsidRPr="1F02600C">
        <w:rPr>
          <w:rFonts w:ascii="Verdana" w:hAnsi="Verdana"/>
          <w:sz w:val="20"/>
          <w:szCs w:val="20"/>
        </w:rPr>
        <w:t>prescriptions</w:t>
      </w:r>
      <w:r w:rsidR="5854EE34" w:rsidRPr="321A0B9B">
        <w:rPr>
          <w:rFonts w:ascii="Verdana" w:hAnsi="Verdana"/>
          <w:sz w:val="20"/>
          <w:szCs w:val="20"/>
        </w:rPr>
        <w:t xml:space="preserve"> and the</w:t>
      </w:r>
      <w:r w:rsidR="5854EE34" w:rsidRPr="0359745B">
        <w:rPr>
          <w:rFonts w:ascii="Verdana" w:hAnsi="Verdana"/>
          <w:sz w:val="20"/>
          <w:szCs w:val="20"/>
        </w:rPr>
        <w:t xml:space="preserve"> </w:t>
      </w:r>
      <w:r w:rsidR="5854EE34" w:rsidRPr="585E33FD">
        <w:rPr>
          <w:rFonts w:ascii="Verdana" w:hAnsi="Verdana"/>
          <w:sz w:val="20"/>
          <w:szCs w:val="20"/>
        </w:rPr>
        <w:t>Warm</w:t>
      </w:r>
      <w:r w:rsidR="5854EE34" w:rsidRPr="0359745B">
        <w:rPr>
          <w:rFonts w:ascii="Verdana" w:hAnsi="Verdana"/>
          <w:sz w:val="20"/>
          <w:szCs w:val="20"/>
        </w:rPr>
        <w:t xml:space="preserve"> </w:t>
      </w:r>
      <w:r w:rsidR="5854EE34" w:rsidRPr="26AB8A62">
        <w:rPr>
          <w:rFonts w:ascii="Verdana" w:hAnsi="Verdana"/>
          <w:sz w:val="20"/>
          <w:szCs w:val="20"/>
        </w:rPr>
        <w:t>Home Discount</w:t>
      </w:r>
      <w:r w:rsidRPr="003950BB">
        <w:rPr>
          <w:rFonts w:ascii="Verdana" w:hAnsi="Verdana"/>
          <w:sz w:val="20"/>
          <w:szCs w:val="20"/>
        </w:rPr>
        <w:t>.</w:t>
      </w:r>
    </w:p>
    <w:p w14:paraId="25FB5FBD" w14:textId="77777777" w:rsidR="0059168A" w:rsidRPr="0059168A" w:rsidRDefault="0059168A" w:rsidP="00C726E4">
      <w:pPr>
        <w:pStyle w:val="ListParagraph"/>
        <w:ind w:left="360"/>
        <w:rPr>
          <w:rFonts w:ascii="Verdana" w:hAnsi="Verdana"/>
          <w:sz w:val="20"/>
          <w:szCs w:val="20"/>
        </w:rPr>
      </w:pPr>
    </w:p>
    <w:p w14:paraId="0247F76C" w14:textId="3C777907" w:rsidR="0059168A" w:rsidRPr="0059168A" w:rsidRDefault="00105AF1" w:rsidP="00C726E4">
      <w:pPr>
        <w:pStyle w:val="ListParagraph"/>
        <w:numPr>
          <w:ilvl w:val="0"/>
          <w:numId w:val="10"/>
        </w:numPr>
        <w:spacing w:after="0" w:line="240" w:lineRule="auto"/>
        <w:ind w:left="360"/>
        <w:rPr>
          <w:rFonts w:ascii="Verdana" w:hAnsi="Verdana"/>
          <w:sz w:val="20"/>
          <w:szCs w:val="20"/>
        </w:rPr>
      </w:pPr>
      <w:r>
        <w:rPr>
          <w:rFonts w:ascii="Verdana" w:hAnsi="Verdana"/>
          <w:sz w:val="20"/>
          <w:szCs w:val="20"/>
        </w:rPr>
        <w:t>According to</w:t>
      </w:r>
      <w:r w:rsidR="0059168A" w:rsidRPr="0059168A">
        <w:rPr>
          <w:rFonts w:ascii="Verdana" w:hAnsi="Verdana"/>
          <w:sz w:val="20"/>
          <w:szCs w:val="20"/>
        </w:rPr>
        <w:t xml:space="preserve"> the DWP </w:t>
      </w:r>
      <w:r>
        <w:rPr>
          <w:rFonts w:ascii="Verdana" w:hAnsi="Verdana"/>
          <w:sz w:val="20"/>
          <w:szCs w:val="20"/>
        </w:rPr>
        <w:t>there has been</w:t>
      </w:r>
      <w:r w:rsidR="0059168A" w:rsidRPr="0059168A">
        <w:rPr>
          <w:rFonts w:ascii="Verdana" w:hAnsi="Verdana"/>
          <w:sz w:val="20"/>
          <w:szCs w:val="20"/>
        </w:rPr>
        <w:t xml:space="preserve"> a recent 275% increase in </w:t>
      </w:r>
      <w:r>
        <w:rPr>
          <w:rFonts w:ascii="Verdana" w:hAnsi="Verdana"/>
          <w:sz w:val="20"/>
          <w:szCs w:val="20"/>
        </w:rPr>
        <w:t xml:space="preserve">Pension Credit </w:t>
      </w:r>
      <w:r w:rsidR="0059168A" w:rsidRPr="0059168A">
        <w:rPr>
          <w:rFonts w:ascii="Verdana" w:hAnsi="Verdana"/>
          <w:sz w:val="20"/>
          <w:szCs w:val="20"/>
        </w:rPr>
        <w:t>claims</w:t>
      </w:r>
      <w:r>
        <w:rPr>
          <w:rFonts w:ascii="Verdana" w:hAnsi="Verdana"/>
          <w:sz w:val="20"/>
          <w:szCs w:val="20"/>
        </w:rPr>
        <w:t>,</w:t>
      </w:r>
      <w:r w:rsidR="0059168A" w:rsidRPr="0059168A">
        <w:rPr>
          <w:rFonts w:ascii="Verdana" w:hAnsi="Verdana"/>
          <w:sz w:val="20"/>
          <w:szCs w:val="20"/>
        </w:rPr>
        <w:t xml:space="preserve"> but it remains unclear whether these are </w:t>
      </w:r>
      <w:r w:rsidR="0059168A" w:rsidRPr="0059168A">
        <w:rPr>
          <w:rFonts w:ascii="Verdana" w:hAnsi="Verdana"/>
          <w:sz w:val="20"/>
          <w:szCs w:val="20"/>
          <w:u w:val="single"/>
        </w:rPr>
        <w:t>successful</w:t>
      </w:r>
      <w:r w:rsidR="0059168A" w:rsidRPr="0059168A">
        <w:rPr>
          <w:rFonts w:ascii="Verdana" w:hAnsi="Verdana"/>
          <w:sz w:val="20"/>
          <w:szCs w:val="20"/>
        </w:rPr>
        <w:t xml:space="preserve"> applications or claims being made by people who are not eligible for Pension Credit. </w:t>
      </w:r>
    </w:p>
    <w:p w14:paraId="517CC067" w14:textId="77777777" w:rsidR="00931852" w:rsidRPr="00105AF1" w:rsidRDefault="00931852" w:rsidP="00C726E4">
      <w:pPr>
        <w:pStyle w:val="ListParagraph"/>
        <w:spacing w:after="0" w:line="240" w:lineRule="auto"/>
        <w:ind w:left="360"/>
        <w:rPr>
          <w:rFonts w:ascii="Verdana" w:hAnsi="Verdana"/>
          <w:sz w:val="20"/>
          <w:szCs w:val="20"/>
        </w:rPr>
      </w:pPr>
    </w:p>
    <w:p w14:paraId="512BD541" w14:textId="77777777" w:rsidR="00913075" w:rsidRPr="003950BB" w:rsidRDefault="00931852" w:rsidP="00C726E4">
      <w:pPr>
        <w:pStyle w:val="ListParagraph"/>
        <w:numPr>
          <w:ilvl w:val="0"/>
          <w:numId w:val="10"/>
        </w:numPr>
        <w:spacing w:after="0" w:line="240" w:lineRule="auto"/>
        <w:ind w:left="360"/>
        <w:rPr>
          <w:rFonts w:ascii="Verdana" w:hAnsi="Verdana"/>
          <w:sz w:val="20"/>
          <w:szCs w:val="20"/>
        </w:rPr>
      </w:pPr>
      <w:r w:rsidRPr="003950BB">
        <w:rPr>
          <w:rFonts w:ascii="Verdana" w:hAnsi="Verdana"/>
          <w:sz w:val="20"/>
          <w:szCs w:val="20"/>
        </w:rPr>
        <w:t xml:space="preserve">Without a clear </w:t>
      </w:r>
      <w:r w:rsidR="00807BF2" w:rsidRPr="003950BB">
        <w:rPr>
          <w:rFonts w:ascii="Verdana" w:hAnsi="Verdana"/>
          <w:sz w:val="20"/>
          <w:szCs w:val="20"/>
        </w:rPr>
        <w:t xml:space="preserve">and sustainable </w:t>
      </w:r>
      <w:r w:rsidRPr="003950BB">
        <w:rPr>
          <w:rFonts w:ascii="Verdana" w:hAnsi="Verdana"/>
          <w:sz w:val="20"/>
          <w:szCs w:val="20"/>
        </w:rPr>
        <w:t>strategy</w:t>
      </w:r>
      <w:r w:rsidR="00807BF2" w:rsidRPr="003950BB">
        <w:rPr>
          <w:rFonts w:ascii="Verdana" w:hAnsi="Verdana"/>
          <w:sz w:val="20"/>
          <w:szCs w:val="20"/>
        </w:rPr>
        <w:t xml:space="preserve"> to improve Pension Credit take-up</w:t>
      </w:r>
      <w:r w:rsidRPr="003950BB">
        <w:rPr>
          <w:rFonts w:ascii="Verdana" w:hAnsi="Verdana"/>
          <w:sz w:val="20"/>
          <w:szCs w:val="20"/>
        </w:rPr>
        <w:t xml:space="preserve">, </w:t>
      </w:r>
      <w:r w:rsidR="00807BF2" w:rsidRPr="003950BB">
        <w:rPr>
          <w:rFonts w:ascii="Verdana" w:hAnsi="Verdana"/>
          <w:sz w:val="20"/>
          <w:szCs w:val="20"/>
        </w:rPr>
        <w:t xml:space="preserve">the government cannot be sure </w:t>
      </w:r>
      <w:r w:rsidR="00194122" w:rsidRPr="003950BB">
        <w:rPr>
          <w:rFonts w:ascii="Verdana" w:hAnsi="Verdana"/>
          <w:sz w:val="20"/>
          <w:szCs w:val="20"/>
        </w:rPr>
        <w:t>that Pension Credit is reaching the right peo</w:t>
      </w:r>
      <w:r w:rsidR="001E6C58" w:rsidRPr="003950BB">
        <w:rPr>
          <w:rFonts w:ascii="Verdana" w:hAnsi="Verdana"/>
          <w:sz w:val="20"/>
          <w:szCs w:val="20"/>
        </w:rPr>
        <w:t xml:space="preserve">ple </w:t>
      </w:r>
      <w:r w:rsidR="001A0E6C" w:rsidRPr="003950BB">
        <w:rPr>
          <w:rFonts w:ascii="Verdana" w:hAnsi="Verdana"/>
          <w:sz w:val="20"/>
          <w:szCs w:val="20"/>
        </w:rPr>
        <w:t>and providing</w:t>
      </w:r>
      <w:r w:rsidR="001E6C58" w:rsidRPr="003950BB">
        <w:rPr>
          <w:rFonts w:ascii="Verdana" w:hAnsi="Verdana"/>
          <w:sz w:val="20"/>
          <w:szCs w:val="20"/>
        </w:rPr>
        <w:t xml:space="preserve"> them </w:t>
      </w:r>
      <w:r w:rsidR="00913075" w:rsidRPr="003950BB">
        <w:rPr>
          <w:rFonts w:ascii="Verdana" w:hAnsi="Verdana"/>
          <w:sz w:val="20"/>
          <w:szCs w:val="20"/>
        </w:rPr>
        <w:t xml:space="preserve">with </w:t>
      </w:r>
      <w:r w:rsidR="001E6C58" w:rsidRPr="003950BB">
        <w:rPr>
          <w:rFonts w:ascii="Verdana" w:hAnsi="Verdana"/>
          <w:sz w:val="20"/>
          <w:szCs w:val="20"/>
        </w:rPr>
        <w:t>a basic minimum level of income</w:t>
      </w:r>
      <w:r w:rsidR="00913075" w:rsidRPr="003950BB">
        <w:rPr>
          <w:rFonts w:ascii="Verdana" w:hAnsi="Verdana"/>
          <w:sz w:val="20"/>
          <w:szCs w:val="20"/>
        </w:rPr>
        <w:t xml:space="preserve">. </w:t>
      </w:r>
    </w:p>
    <w:p w14:paraId="5300226D" w14:textId="77777777" w:rsidR="00913075" w:rsidRDefault="00913075" w:rsidP="00C726E4">
      <w:pPr>
        <w:spacing w:after="0" w:line="240" w:lineRule="auto"/>
        <w:rPr>
          <w:rFonts w:ascii="Verdana" w:hAnsi="Verdana"/>
          <w:sz w:val="20"/>
          <w:szCs w:val="20"/>
        </w:rPr>
      </w:pPr>
    </w:p>
    <w:p w14:paraId="7CF9EE3B" w14:textId="7C13410E" w:rsidR="00931852" w:rsidRPr="003950BB" w:rsidRDefault="00913075" w:rsidP="00C726E4">
      <w:pPr>
        <w:pStyle w:val="ListParagraph"/>
        <w:numPr>
          <w:ilvl w:val="0"/>
          <w:numId w:val="10"/>
        </w:numPr>
        <w:spacing w:after="0" w:line="240" w:lineRule="auto"/>
        <w:ind w:left="360"/>
        <w:rPr>
          <w:rFonts w:ascii="Verdana" w:hAnsi="Verdana"/>
          <w:sz w:val="20"/>
          <w:szCs w:val="20"/>
        </w:rPr>
      </w:pPr>
      <w:r w:rsidRPr="003950BB">
        <w:rPr>
          <w:rFonts w:ascii="Verdana" w:hAnsi="Verdana"/>
          <w:sz w:val="20"/>
          <w:szCs w:val="20"/>
        </w:rPr>
        <w:t>Furthermore,</w:t>
      </w:r>
      <w:r w:rsidRPr="750DB20A">
        <w:rPr>
          <w:rFonts w:ascii="Verdana" w:hAnsi="Verdana"/>
          <w:sz w:val="20"/>
          <w:szCs w:val="20"/>
        </w:rPr>
        <w:t xml:space="preserve"> </w:t>
      </w:r>
      <w:r w:rsidR="3E034275" w:rsidRPr="750DB20A">
        <w:rPr>
          <w:rFonts w:ascii="Verdana" w:hAnsi="Verdana"/>
          <w:sz w:val="20"/>
          <w:szCs w:val="20"/>
        </w:rPr>
        <w:t>due to the low take</w:t>
      </w:r>
      <w:r w:rsidRPr="003950BB">
        <w:rPr>
          <w:rFonts w:ascii="Verdana" w:hAnsi="Verdana"/>
          <w:sz w:val="20"/>
          <w:szCs w:val="20"/>
        </w:rPr>
        <w:t xml:space="preserve"> </w:t>
      </w:r>
      <w:r w:rsidR="3E034275" w:rsidRPr="6A727559">
        <w:rPr>
          <w:rFonts w:ascii="Verdana" w:hAnsi="Verdana"/>
          <w:sz w:val="20"/>
          <w:szCs w:val="20"/>
        </w:rPr>
        <w:t xml:space="preserve">up of </w:t>
      </w:r>
      <w:r w:rsidR="3E034275" w:rsidRPr="22B60DD4">
        <w:rPr>
          <w:rFonts w:ascii="Verdana" w:hAnsi="Verdana"/>
          <w:sz w:val="20"/>
          <w:szCs w:val="20"/>
        </w:rPr>
        <w:t xml:space="preserve">Pension </w:t>
      </w:r>
      <w:r w:rsidR="3E034275" w:rsidRPr="5979979D">
        <w:rPr>
          <w:rFonts w:ascii="Verdana" w:hAnsi="Verdana"/>
          <w:sz w:val="20"/>
          <w:szCs w:val="20"/>
        </w:rPr>
        <w:t>Credi</w:t>
      </w:r>
      <w:r w:rsidR="17BEB281" w:rsidRPr="5979979D">
        <w:rPr>
          <w:rFonts w:ascii="Verdana" w:hAnsi="Verdana"/>
          <w:sz w:val="20"/>
          <w:szCs w:val="20"/>
        </w:rPr>
        <w:t>t</w:t>
      </w:r>
      <w:r w:rsidR="3E034275" w:rsidRPr="3116A168">
        <w:rPr>
          <w:rFonts w:ascii="Verdana" w:hAnsi="Verdana"/>
          <w:sz w:val="20"/>
          <w:szCs w:val="20"/>
        </w:rPr>
        <w:t>,</w:t>
      </w:r>
      <w:r w:rsidR="3E034275" w:rsidRPr="02560A28">
        <w:rPr>
          <w:rFonts w:ascii="Verdana" w:hAnsi="Verdana"/>
          <w:sz w:val="20"/>
          <w:szCs w:val="20"/>
        </w:rPr>
        <w:t xml:space="preserve"> </w:t>
      </w:r>
      <w:r w:rsidRPr="3116A168">
        <w:rPr>
          <w:rFonts w:ascii="Verdana" w:hAnsi="Verdana"/>
          <w:sz w:val="20"/>
          <w:szCs w:val="20"/>
        </w:rPr>
        <w:t>the</w:t>
      </w:r>
      <w:r w:rsidRPr="003950BB">
        <w:rPr>
          <w:rFonts w:ascii="Verdana" w:hAnsi="Verdana"/>
          <w:sz w:val="20"/>
          <w:szCs w:val="20"/>
        </w:rPr>
        <w:t xml:space="preserve"> Treasury cannot use </w:t>
      </w:r>
      <w:r w:rsidR="6E0B2814" w:rsidRPr="3EA3F074">
        <w:rPr>
          <w:rFonts w:ascii="Verdana" w:hAnsi="Verdana"/>
          <w:sz w:val="20"/>
          <w:szCs w:val="20"/>
        </w:rPr>
        <w:t xml:space="preserve">it as a </w:t>
      </w:r>
      <w:r w:rsidR="6E0B2814" w:rsidRPr="3408B3C3">
        <w:rPr>
          <w:rFonts w:ascii="Verdana" w:hAnsi="Verdana"/>
          <w:sz w:val="20"/>
          <w:szCs w:val="20"/>
        </w:rPr>
        <w:t>mechanism</w:t>
      </w:r>
      <w:r w:rsidRPr="003950BB">
        <w:rPr>
          <w:rFonts w:ascii="Verdana" w:hAnsi="Verdana"/>
          <w:sz w:val="20"/>
          <w:szCs w:val="20"/>
        </w:rPr>
        <w:t xml:space="preserve"> </w:t>
      </w:r>
      <w:r w:rsidR="00881B9C" w:rsidRPr="003950BB">
        <w:rPr>
          <w:rFonts w:ascii="Verdana" w:hAnsi="Verdana"/>
          <w:sz w:val="20"/>
          <w:szCs w:val="20"/>
        </w:rPr>
        <w:t>to</w:t>
      </w:r>
      <w:r w:rsidRPr="003950BB">
        <w:rPr>
          <w:rFonts w:ascii="Verdana" w:hAnsi="Verdana"/>
          <w:sz w:val="20"/>
          <w:szCs w:val="20"/>
        </w:rPr>
        <w:t xml:space="preserve"> </w:t>
      </w:r>
      <w:r w:rsidR="009275FF">
        <w:rPr>
          <w:rFonts w:ascii="Verdana" w:hAnsi="Verdana"/>
          <w:sz w:val="20"/>
          <w:szCs w:val="20"/>
        </w:rPr>
        <w:t xml:space="preserve">effectively </w:t>
      </w:r>
      <w:r w:rsidRPr="003950BB">
        <w:rPr>
          <w:rFonts w:ascii="Verdana" w:hAnsi="Verdana"/>
          <w:sz w:val="20"/>
          <w:szCs w:val="20"/>
        </w:rPr>
        <w:t xml:space="preserve">target </w:t>
      </w:r>
      <w:r w:rsidR="0056384C" w:rsidRPr="003950BB">
        <w:rPr>
          <w:rFonts w:ascii="Verdana" w:hAnsi="Verdana"/>
          <w:sz w:val="20"/>
          <w:szCs w:val="20"/>
        </w:rPr>
        <w:t xml:space="preserve">support </w:t>
      </w:r>
      <w:r w:rsidR="21123015" w:rsidRPr="158286FB">
        <w:rPr>
          <w:rFonts w:ascii="Verdana" w:hAnsi="Verdana"/>
          <w:sz w:val="20"/>
          <w:szCs w:val="20"/>
        </w:rPr>
        <w:t>at older people living on the lowest incomes</w:t>
      </w:r>
      <w:r w:rsidR="000C2E47">
        <w:rPr>
          <w:rFonts w:ascii="Verdana" w:hAnsi="Verdana"/>
          <w:sz w:val="20"/>
          <w:szCs w:val="20"/>
        </w:rPr>
        <w:t>,</w:t>
      </w:r>
      <w:r w:rsidR="21123015" w:rsidRPr="158286FB">
        <w:rPr>
          <w:rFonts w:ascii="Verdana" w:hAnsi="Verdana"/>
          <w:sz w:val="20"/>
          <w:szCs w:val="20"/>
        </w:rPr>
        <w:t xml:space="preserve"> </w:t>
      </w:r>
      <w:r w:rsidR="41D1F8AD" w:rsidRPr="38D49D02">
        <w:rPr>
          <w:rFonts w:ascii="Verdana" w:hAnsi="Verdana"/>
          <w:sz w:val="20"/>
          <w:szCs w:val="20"/>
        </w:rPr>
        <w:t xml:space="preserve">for </w:t>
      </w:r>
      <w:r w:rsidR="0056384C" w:rsidRPr="003950BB">
        <w:rPr>
          <w:rFonts w:ascii="Verdana" w:hAnsi="Verdana"/>
          <w:sz w:val="20"/>
          <w:szCs w:val="20"/>
        </w:rPr>
        <w:t>energy bills</w:t>
      </w:r>
      <w:r w:rsidR="00096223">
        <w:rPr>
          <w:rFonts w:ascii="Verdana" w:hAnsi="Verdana"/>
          <w:sz w:val="20"/>
          <w:szCs w:val="20"/>
        </w:rPr>
        <w:t xml:space="preserve"> and the rising cost of living</w:t>
      </w:r>
      <w:r w:rsidR="00C972B5">
        <w:rPr>
          <w:rFonts w:ascii="Verdana" w:hAnsi="Verdana"/>
          <w:sz w:val="20"/>
          <w:szCs w:val="20"/>
        </w:rPr>
        <w:t xml:space="preserve">. </w:t>
      </w:r>
      <w:r w:rsidR="00807BF2" w:rsidRPr="003950BB">
        <w:rPr>
          <w:rFonts w:ascii="Verdana" w:hAnsi="Verdana"/>
          <w:sz w:val="20"/>
          <w:szCs w:val="20"/>
        </w:rPr>
        <w:t xml:space="preserve"> </w:t>
      </w:r>
    </w:p>
    <w:p w14:paraId="0942B830" w14:textId="77777777" w:rsidR="00DB6324" w:rsidRDefault="00DB6324" w:rsidP="00271BC4">
      <w:pPr>
        <w:spacing w:after="0" w:line="240" w:lineRule="auto"/>
        <w:rPr>
          <w:rFonts w:ascii="Verdana" w:hAnsi="Verdana"/>
          <w:b/>
          <w:bCs/>
          <w:sz w:val="20"/>
          <w:szCs w:val="20"/>
        </w:rPr>
      </w:pPr>
    </w:p>
    <w:p w14:paraId="725D4914" w14:textId="247CEF50" w:rsidR="002252C7" w:rsidRPr="00271BC4" w:rsidRDefault="002252C7" w:rsidP="002252C7">
      <w:pPr>
        <w:spacing w:after="0" w:line="240" w:lineRule="auto"/>
        <w:rPr>
          <w:rFonts w:ascii="Verdana" w:hAnsi="Verdana"/>
          <w:b/>
          <w:bCs/>
          <w:sz w:val="20"/>
          <w:szCs w:val="20"/>
        </w:rPr>
      </w:pPr>
      <w:r w:rsidRPr="00271BC4">
        <w:rPr>
          <w:rFonts w:ascii="Verdana" w:hAnsi="Verdana"/>
          <w:b/>
          <w:bCs/>
          <w:sz w:val="20"/>
          <w:szCs w:val="20"/>
        </w:rPr>
        <w:t>Recommendation</w:t>
      </w:r>
      <w:r>
        <w:rPr>
          <w:rFonts w:ascii="Verdana" w:hAnsi="Verdana"/>
          <w:b/>
          <w:bCs/>
          <w:sz w:val="20"/>
          <w:szCs w:val="20"/>
        </w:rPr>
        <w:t xml:space="preserve"> for the UK government</w:t>
      </w:r>
      <w:r w:rsidRPr="00271BC4">
        <w:rPr>
          <w:rFonts w:ascii="Verdana" w:hAnsi="Verdana"/>
          <w:b/>
          <w:bCs/>
          <w:sz w:val="20"/>
          <w:szCs w:val="20"/>
        </w:rPr>
        <w:t xml:space="preserve"> </w:t>
      </w:r>
    </w:p>
    <w:p w14:paraId="7FC98870" w14:textId="77777777" w:rsidR="002252C7" w:rsidRDefault="002252C7" w:rsidP="002252C7">
      <w:pPr>
        <w:spacing w:after="0" w:line="240" w:lineRule="auto"/>
        <w:rPr>
          <w:rFonts w:ascii="Verdana" w:hAnsi="Verdana"/>
          <w:sz w:val="20"/>
          <w:szCs w:val="20"/>
        </w:rPr>
      </w:pPr>
      <w:r w:rsidRPr="00271BC4">
        <w:rPr>
          <w:rFonts w:ascii="Verdana" w:hAnsi="Verdana"/>
          <w:sz w:val="20"/>
          <w:szCs w:val="20"/>
        </w:rPr>
        <w:t xml:space="preserve">Independent Age is calling on the DWP to publish a Pension Credit uptake strategic action plan for the next 5 years, in consultation with key stakeholders. </w:t>
      </w:r>
    </w:p>
    <w:p w14:paraId="71841A69" w14:textId="77777777" w:rsidR="002252C7" w:rsidRDefault="002252C7" w:rsidP="002252C7">
      <w:pPr>
        <w:spacing w:after="0" w:line="240" w:lineRule="auto"/>
        <w:rPr>
          <w:rFonts w:ascii="Verdana" w:hAnsi="Verdana"/>
          <w:sz w:val="20"/>
          <w:szCs w:val="20"/>
        </w:rPr>
      </w:pPr>
    </w:p>
    <w:p w14:paraId="73F6135F" w14:textId="77777777" w:rsidR="002252C7" w:rsidRPr="00F50A55" w:rsidRDefault="002252C7" w:rsidP="002252C7">
      <w:pPr>
        <w:spacing w:after="0" w:line="240" w:lineRule="auto"/>
        <w:rPr>
          <w:rFonts w:ascii="Verdana" w:hAnsi="Verdana"/>
          <w:sz w:val="20"/>
          <w:szCs w:val="20"/>
        </w:rPr>
      </w:pPr>
      <w:r w:rsidRPr="00F50A55">
        <w:rPr>
          <w:rFonts w:ascii="Verdana" w:hAnsi="Verdana"/>
          <w:sz w:val="20"/>
          <w:szCs w:val="20"/>
        </w:rPr>
        <w:t xml:space="preserve">This call has been echoed by the Work and Pensions Committee in their cost-of-living inquiry report. </w:t>
      </w:r>
    </w:p>
    <w:p w14:paraId="34AD41CD" w14:textId="77777777" w:rsidR="00271BC4" w:rsidRPr="00271BC4" w:rsidRDefault="00271BC4" w:rsidP="00271BC4">
      <w:pPr>
        <w:spacing w:after="0" w:line="240" w:lineRule="auto"/>
        <w:rPr>
          <w:rFonts w:ascii="Verdana" w:hAnsi="Verdana"/>
          <w:sz w:val="20"/>
          <w:szCs w:val="20"/>
        </w:rPr>
      </w:pPr>
    </w:p>
    <w:p w14:paraId="0B8522E9" w14:textId="1978B351" w:rsidR="00271BC4" w:rsidRPr="00271BC4" w:rsidRDefault="00271BC4" w:rsidP="00271BC4">
      <w:pPr>
        <w:spacing w:after="0" w:line="240" w:lineRule="auto"/>
        <w:rPr>
          <w:rFonts w:ascii="Verdana" w:hAnsi="Verdana"/>
          <w:b/>
          <w:bCs/>
          <w:sz w:val="20"/>
          <w:szCs w:val="20"/>
        </w:rPr>
      </w:pPr>
      <w:r w:rsidRPr="00271BC4">
        <w:rPr>
          <w:rFonts w:ascii="Verdana" w:hAnsi="Verdana"/>
          <w:b/>
          <w:bCs/>
          <w:sz w:val="20"/>
          <w:szCs w:val="20"/>
        </w:rPr>
        <w:t>Key statistics</w:t>
      </w:r>
    </w:p>
    <w:p w14:paraId="54D3104E" w14:textId="20B4CAE4" w:rsidR="00271BC4" w:rsidRPr="00271BC4" w:rsidRDefault="00271BC4" w:rsidP="00271BC4">
      <w:pPr>
        <w:numPr>
          <w:ilvl w:val="0"/>
          <w:numId w:val="1"/>
        </w:numPr>
        <w:spacing w:after="0" w:line="240" w:lineRule="auto"/>
        <w:rPr>
          <w:rFonts w:ascii="Verdana" w:eastAsiaTheme="minorEastAsia" w:hAnsi="Verdana"/>
          <w:sz w:val="20"/>
          <w:szCs w:val="20"/>
        </w:rPr>
      </w:pPr>
      <w:r w:rsidRPr="00271BC4">
        <w:rPr>
          <w:rFonts w:ascii="Verdana" w:hAnsi="Verdana"/>
          <w:sz w:val="20"/>
          <w:szCs w:val="20"/>
        </w:rPr>
        <w:t>Pension Credit uptake has stagnated below 66% for the last 10 years</w:t>
      </w:r>
      <w:r w:rsidR="002252C7">
        <w:rPr>
          <w:rFonts w:ascii="Verdana" w:hAnsi="Verdana"/>
          <w:sz w:val="20"/>
          <w:szCs w:val="20"/>
        </w:rPr>
        <w:t>,</w:t>
      </w:r>
      <w:r w:rsidRPr="00271BC4">
        <w:rPr>
          <w:rFonts w:ascii="Verdana" w:hAnsi="Verdana"/>
          <w:sz w:val="20"/>
          <w:szCs w:val="20"/>
        </w:rPr>
        <w:t xml:space="preserve"> </w:t>
      </w:r>
      <w:r w:rsidR="00081940">
        <w:rPr>
          <w:rFonts w:ascii="Verdana" w:hAnsi="Verdana"/>
          <w:sz w:val="20"/>
          <w:szCs w:val="20"/>
        </w:rPr>
        <w:t>according to latest government figures</w:t>
      </w:r>
      <w:r w:rsidR="001911CD">
        <w:rPr>
          <w:rFonts w:ascii="Verdana" w:hAnsi="Verdana"/>
          <w:sz w:val="20"/>
          <w:szCs w:val="20"/>
        </w:rPr>
        <w:t xml:space="preserve"> from 2019/20</w:t>
      </w:r>
      <w:r w:rsidRPr="00271BC4">
        <w:rPr>
          <w:rFonts w:ascii="Verdana" w:hAnsi="Verdana"/>
          <w:sz w:val="20"/>
          <w:szCs w:val="20"/>
        </w:rPr>
        <w:t>.</w:t>
      </w:r>
      <w:r w:rsidR="00F52C96">
        <w:rPr>
          <w:rStyle w:val="EndnoteReference"/>
          <w:rFonts w:ascii="Verdana" w:hAnsi="Verdana"/>
          <w:sz w:val="20"/>
          <w:szCs w:val="20"/>
        </w:rPr>
        <w:endnoteReference w:id="5"/>
      </w:r>
      <w:r w:rsidRPr="00271BC4">
        <w:rPr>
          <w:rFonts w:ascii="Verdana" w:hAnsi="Verdana"/>
          <w:sz w:val="20"/>
          <w:szCs w:val="20"/>
        </w:rPr>
        <w:t xml:space="preserve"> </w:t>
      </w:r>
    </w:p>
    <w:p w14:paraId="0BB879AB" w14:textId="16E308F6" w:rsidR="00B935A3" w:rsidRPr="00B935A3" w:rsidRDefault="00271BC4" w:rsidP="00271BC4">
      <w:pPr>
        <w:numPr>
          <w:ilvl w:val="0"/>
          <w:numId w:val="1"/>
        </w:numPr>
        <w:spacing w:after="0" w:line="240" w:lineRule="auto"/>
        <w:rPr>
          <w:rFonts w:ascii="Verdana" w:eastAsiaTheme="minorEastAsia" w:hAnsi="Verdana"/>
          <w:sz w:val="20"/>
          <w:szCs w:val="20"/>
        </w:rPr>
      </w:pPr>
      <w:r w:rsidRPr="00271BC4">
        <w:rPr>
          <w:rFonts w:ascii="Verdana" w:hAnsi="Verdana"/>
          <w:sz w:val="20"/>
          <w:szCs w:val="20"/>
        </w:rPr>
        <w:t>Research commissioned by Independent Age in 2020</w:t>
      </w:r>
      <w:r w:rsidR="00F55A08">
        <w:rPr>
          <w:rFonts w:ascii="Verdana" w:hAnsi="Verdana"/>
          <w:sz w:val="20"/>
          <w:szCs w:val="20"/>
        </w:rPr>
        <w:t>:</w:t>
      </w:r>
    </w:p>
    <w:p w14:paraId="754EB304" w14:textId="3F203D22" w:rsidR="00271BC4" w:rsidRPr="00271BC4" w:rsidRDefault="00271BC4" w:rsidP="00B935A3">
      <w:pPr>
        <w:numPr>
          <w:ilvl w:val="1"/>
          <w:numId w:val="1"/>
        </w:numPr>
        <w:spacing w:after="0" w:line="240" w:lineRule="auto"/>
        <w:rPr>
          <w:rFonts w:ascii="Verdana" w:eastAsiaTheme="minorEastAsia" w:hAnsi="Verdana"/>
          <w:sz w:val="20"/>
          <w:szCs w:val="20"/>
        </w:rPr>
      </w:pPr>
      <w:r w:rsidRPr="00271BC4">
        <w:rPr>
          <w:rFonts w:ascii="Verdana" w:hAnsi="Verdana"/>
          <w:sz w:val="20"/>
          <w:szCs w:val="20"/>
        </w:rPr>
        <w:t xml:space="preserve">showed that, at that time, increasing Pension Credit uptake could lift over 400,000 older people out of income </w:t>
      </w:r>
      <w:r w:rsidRPr="00271BC4">
        <w:rPr>
          <w:rFonts w:ascii="Verdana" w:eastAsiaTheme="minorEastAsia" w:hAnsi="Verdana"/>
          <w:sz w:val="20"/>
          <w:szCs w:val="20"/>
        </w:rPr>
        <w:t xml:space="preserve">poverty, and halve severe income poverty to 4%. </w:t>
      </w:r>
    </w:p>
    <w:p w14:paraId="39EF32E0" w14:textId="4B803957" w:rsidR="00271BC4" w:rsidRPr="00271BC4" w:rsidRDefault="00271BC4" w:rsidP="00B935A3">
      <w:pPr>
        <w:pStyle w:val="ListParagraph"/>
        <w:numPr>
          <w:ilvl w:val="1"/>
          <w:numId w:val="1"/>
        </w:numPr>
        <w:spacing w:after="0" w:line="240" w:lineRule="auto"/>
        <w:rPr>
          <w:rFonts w:ascii="Verdana" w:hAnsi="Verdana"/>
          <w:b/>
          <w:bCs/>
          <w:sz w:val="20"/>
          <w:szCs w:val="20"/>
        </w:rPr>
      </w:pPr>
      <w:r w:rsidRPr="00271BC4">
        <w:rPr>
          <w:rFonts w:ascii="Verdana" w:hAnsi="Verdana"/>
          <w:sz w:val="20"/>
          <w:szCs w:val="20"/>
        </w:rPr>
        <w:t xml:space="preserve">estimated that low uptake of Pension Credit costs the </w:t>
      </w:r>
      <w:r w:rsidR="009A5B0A">
        <w:rPr>
          <w:rFonts w:ascii="Verdana" w:hAnsi="Verdana"/>
          <w:sz w:val="20"/>
          <w:szCs w:val="20"/>
        </w:rPr>
        <w:t>g</w:t>
      </w:r>
      <w:r w:rsidRPr="00271BC4">
        <w:rPr>
          <w:rFonts w:ascii="Verdana" w:hAnsi="Verdana"/>
          <w:sz w:val="20"/>
          <w:szCs w:val="20"/>
        </w:rPr>
        <w:t>overnment £4 billion a year in increased NHS and social care spending.</w:t>
      </w:r>
      <w:r w:rsidRPr="00271BC4">
        <w:rPr>
          <w:rFonts w:ascii="Verdana" w:hAnsi="Verdana" w:cs="Times New Roman"/>
          <w:sz w:val="20"/>
          <w:szCs w:val="20"/>
          <w:vertAlign w:val="superscript"/>
        </w:rPr>
        <w:endnoteReference w:id="6"/>
      </w:r>
    </w:p>
    <w:p w14:paraId="66D17FA3" w14:textId="77777777" w:rsidR="008111A4" w:rsidRPr="008111A4" w:rsidRDefault="008111A4" w:rsidP="008111A4">
      <w:pPr>
        <w:spacing w:after="0" w:line="240" w:lineRule="auto"/>
        <w:rPr>
          <w:rFonts w:ascii="Verdana" w:eastAsia="Segoe UI" w:hAnsi="Verdana" w:cs="Segoe UI"/>
          <w:color w:val="333333"/>
          <w:sz w:val="20"/>
          <w:szCs w:val="20"/>
        </w:rPr>
      </w:pPr>
    </w:p>
    <w:p w14:paraId="1C7AA93B" w14:textId="45206A5A" w:rsidR="00230404" w:rsidRPr="00230404" w:rsidRDefault="00230404" w:rsidP="00AF3902">
      <w:pPr>
        <w:spacing w:after="0"/>
        <w:rPr>
          <w:rFonts w:ascii="Verdana" w:hAnsi="Verdana"/>
          <w:b/>
          <w:bCs/>
          <w:sz w:val="20"/>
          <w:szCs w:val="20"/>
        </w:rPr>
      </w:pPr>
      <w:r w:rsidRPr="00230404">
        <w:rPr>
          <w:rFonts w:ascii="Verdana" w:hAnsi="Verdana"/>
          <w:b/>
          <w:bCs/>
          <w:sz w:val="20"/>
          <w:szCs w:val="20"/>
        </w:rPr>
        <w:t xml:space="preserve">What is the UK </w:t>
      </w:r>
      <w:r w:rsidR="00AC7DAB">
        <w:rPr>
          <w:rFonts w:ascii="Verdana" w:hAnsi="Verdana"/>
          <w:b/>
          <w:bCs/>
          <w:sz w:val="20"/>
          <w:szCs w:val="20"/>
        </w:rPr>
        <w:t>g</w:t>
      </w:r>
      <w:r w:rsidRPr="00230404">
        <w:rPr>
          <w:rFonts w:ascii="Verdana" w:hAnsi="Verdana"/>
          <w:b/>
          <w:bCs/>
          <w:sz w:val="20"/>
          <w:szCs w:val="20"/>
        </w:rPr>
        <w:t>overnment doing about the low take-up of Pension Credit</w:t>
      </w:r>
      <w:r w:rsidR="00EE5609">
        <w:rPr>
          <w:rFonts w:ascii="Verdana" w:hAnsi="Verdana"/>
          <w:b/>
          <w:bCs/>
          <w:sz w:val="20"/>
          <w:szCs w:val="20"/>
        </w:rPr>
        <w:t>?</w:t>
      </w:r>
      <w:r w:rsidRPr="00230404">
        <w:rPr>
          <w:rFonts w:ascii="Verdana" w:hAnsi="Verdana"/>
          <w:b/>
          <w:bCs/>
          <w:sz w:val="20"/>
          <w:szCs w:val="20"/>
        </w:rPr>
        <w:t xml:space="preserve"> </w:t>
      </w:r>
    </w:p>
    <w:p w14:paraId="29EC2097" w14:textId="69905912" w:rsidR="00230404" w:rsidRDefault="00230404" w:rsidP="00AF3902">
      <w:pPr>
        <w:spacing w:after="0"/>
        <w:rPr>
          <w:rFonts w:ascii="Verdana" w:hAnsi="Verdana"/>
          <w:sz w:val="20"/>
          <w:szCs w:val="20"/>
        </w:rPr>
      </w:pPr>
      <w:r w:rsidRPr="00230404">
        <w:rPr>
          <w:rFonts w:ascii="Verdana" w:hAnsi="Verdana"/>
          <w:sz w:val="20"/>
          <w:szCs w:val="20"/>
        </w:rPr>
        <w:t xml:space="preserve">The </w:t>
      </w:r>
      <w:r w:rsidR="009A5B0A">
        <w:rPr>
          <w:rFonts w:ascii="Verdana" w:hAnsi="Verdana"/>
          <w:sz w:val="20"/>
          <w:szCs w:val="20"/>
        </w:rPr>
        <w:t>g</w:t>
      </w:r>
      <w:r w:rsidRPr="00230404">
        <w:rPr>
          <w:rFonts w:ascii="Verdana" w:hAnsi="Verdana"/>
          <w:sz w:val="20"/>
          <w:szCs w:val="20"/>
        </w:rPr>
        <w:t>overnment has increasingly recognised the problem of low uptake of Pension Credit.</w:t>
      </w:r>
      <w:r>
        <w:rPr>
          <w:rFonts w:ascii="Verdana" w:hAnsi="Verdana"/>
          <w:sz w:val="20"/>
          <w:szCs w:val="20"/>
        </w:rPr>
        <w:t xml:space="preserve"> </w:t>
      </w:r>
      <w:r w:rsidRPr="00230404">
        <w:rPr>
          <w:rFonts w:ascii="Verdana" w:hAnsi="Verdana"/>
          <w:sz w:val="20"/>
          <w:szCs w:val="20"/>
        </w:rPr>
        <w:t xml:space="preserve">The </w:t>
      </w:r>
      <w:r>
        <w:rPr>
          <w:rFonts w:ascii="Verdana" w:hAnsi="Verdana"/>
          <w:sz w:val="20"/>
          <w:szCs w:val="20"/>
        </w:rPr>
        <w:t>DWP</w:t>
      </w:r>
      <w:r w:rsidRPr="00230404">
        <w:rPr>
          <w:rFonts w:ascii="Verdana" w:hAnsi="Verdana"/>
          <w:sz w:val="20"/>
          <w:szCs w:val="20"/>
        </w:rPr>
        <w:t xml:space="preserve"> re-started its national awareness campaigns, paused since the late 2000s, with campaigns in 2020, 2021 and 2022, and established a ‘Pension Credit Awareness Day’ in 2021.</w:t>
      </w:r>
    </w:p>
    <w:p w14:paraId="2767CF7B" w14:textId="77777777" w:rsidR="00B93A4D" w:rsidRDefault="00B93A4D" w:rsidP="00AF3902">
      <w:pPr>
        <w:spacing w:after="0"/>
        <w:rPr>
          <w:rFonts w:ascii="Verdana" w:hAnsi="Verdana"/>
          <w:sz w:val="20"/>
          <w:szCs w:val="20"/>
        </w:rPr>
      </w:pPr>
    </w:p>
    <w:p w14:paraId="1221552D" w14:textId="0EF4FFA9" w:rsidR="00F50A55" w:rsidRDefault="00230404">
      <w:pPr>
        <w:rPr>
          <w:rFonts w:ascii="Verdana" w:hAnsi="Verdana"/>
          <w:sz w:val="20"/>
          <w:szCs w:val="20"/>
        </w:rPr>
      </w:pPr>
      <w:r w:rsidRPr="00230404">
        <w:rPr>
          <w:rFonts w:ascii="Verdana" w:hAnsi="Verdana"/>
          <w:sz w:val="20"/>
          <w:szCs w:val="20"/>
        </w:rPr>
        <w:t>We welcome this renewed drive to increase uptake. However, there is little evidence so far that these initiatives on their own are having a large enough impact on successful claims.</w:t>
      </w:r>
      <w:r w:rsidR="00261704" w:rsidRPr="00261704">
        <w:t xml:space="preserve"> </w:t>
      </w:r>
      <w:r w:rsidR="00261704" w:rsidRPr="00261704">
        <w:rPr>
          <w:rFonts w:ascii="Verdana" w:hAnsi="Verdana"/>
          <w:sz w:val="20"/>
          <w:szCs w:val="20"/>
        </w:rPr>
        <w:t xml:space="preserve">While the </w:t>
      </w:r>
      <w:r w:rsidR="009A5B0A">
        <w:rPr>
          <w:rFonts w:ascii="Verdana" w:hAnsi="Verdana"/>
          <w:sz w:val="20"/>
          <w:szCs w:val="20"/>
        </w:rPr>
        <w:t>g</w:t>
      </w:r>
      <w:r w:rsidR="00261704" w:rsidRPr="00261704">
        <w:rPr>
          <w:rFonts w:ascii="Verdana" w:hAnsi="Verdana"/>
          <w:sz w:val="20"/>
          <w:szCs w:val="20"/>
        </w:rPr>
        <w:t xml:space="preserve">overnment has pointed to a recent increase in applications, we know that some people who apply are not </w:t>
      </w:r>
      <w:r w:rsidR="00BB364E" w:rsidRPr="00261704">
        <w:rPr>
          <w:rFonts w:ascii="Verdana" w:hAnsi="Verdana"/>
          <w:sz w:val="20"/>
          <w:szCs w:val="20"/>
        </w:rPr>
        <w:t>eligible,</w:t>
      </w:r>
      <w:r w:rsidR="00261704" w:rsidRPr="00261704">
        <w:rPr>
          <w:rFonts w:ascii="Verdana" w:hAnsi="Verdana"/>
          <w:sz w:val="20"/>
          <w:szCs w:val="20"/>
        </w:rPr>
        <w:t xml:space="preserve"> and the </w:t>
      </w:r>
      <w:r w:rsidR="009A5B0A">
        <w:rPr>
          <w:rFonts w:ascii="Verdana" w:hAnsi="Verdana"/>
          <w:sz w:val="20"/>
          <w:szCs w:val="20"/>
        </w:rPr>
        <w:t>g</w:t>
      </w:r>
      <w:r w:rsidR="00261704" w:rsidRPr="00261704">
        <w:rPr>
          <w:rFonts w:ascii="Verdana" w:hAnsi="Verdana"/>
          <w:sz w:val="20"/>
          <w:szCs w:val="20"/>
        </w:rPr>
        <w:t>overnment has not provided evidence of the success rate.</w:t>
      </w:r>
    </w:p>
    <w:p w14:paraId="1467712D" w14:textId="77777777" w:rsidR="00AF3902" w:rsidRDefault="00EE5609" w:rsidP="00AF3902">
      <w:pPr>
        <w:spacing w:after="0"/>
        <w:rPr>
          <w:rFonts w:ascii="Verdana" w:hAnsi="Verdana"/>
          <w:b/>
          <w:sz w:val="20"/>
          <w:szCs w:val="20"/>
        </w:rPr>
      </w:pPr>
      <w:r w:rsidRPr="00EE5609">
        <w:rPr>
          <w:rFonts w:ascii="Verdana" w:hAnsi="Verdana"/>
          <w:b/>
          <w:sz w:val="20"/>
          <w:szCs w:val="20"/>
        </w:rPr>
        <w:t>How is local government approaching the issue?</w:t>
      </w:r>
    </w:p>
    <w:p w14:paraId="20C62FA2" w14:textId="5FBE8043" w:rsidR="00EE5609" w:rsidRDefault="00EE5609" w:rsidP="00AF3902">
      <w:pPr>
        <w:spacing w:after="0"/>
        <w:rPr>
          <w:rFonts w:ascii="Verdana" w:hAnsi="Verdana"/>
          <w:sz w:val="20"/>
          <w:szCs w:val="20"/>
        </w:rPr>
      </w:pPr>
      <w:r w:rsidRPr="00EE5609">
        <w:rPr>
          <w:rFonts w:ascii="Verdana" w:hAnsi="Verdana"/>
          <w:sz w:val="20"/>
          <w:szCs w:val="20"/>
        </w:rPr>
        <w:t xml:space="preserve">In Spring 2022, Independent Age spoke to five local authorities across the UK who have undertaken campaigns to increase Pension Credit uptake in their </w:t>
      </w:r>
      <w:r w:rsidR="00B773C6" w:rsidRPr="00EE5609">
        <w:rPr>
          <w:rFonts w:ascii="Verdana" w:hAnsi="Verdana"/>
          <w:sz w:val="20"/>
          <w:szCs w:val="20"/>
        </w:rPr>
        <w:t>areas or</w:t>
      </w:r>
      <w:r w:rsidRPr="00EE5609">
        <w:rPr>
          <w:rFonts w:ascii="Verdana" w:hAnsi="Verdana"/>
          <w:sz w:val="20"/>
          <w:szCs w:val="20"/>
        </w:rPr>
        <w:t xml:space="preserve"> were about to begin one. The local authorities were chosen for their geographical spread, and their variety of sizes. We also spoke to other local, regional and national bodies, and private data software providers who support local Pension Credit campaigns. We saw some excellent examples of good practice</w:t>
      </w:r>
      <w:r>
        <w:rPr>
          <w:rFonts w:ascii="Verdana" w:hAnsi="Verdana"/>
          <w:sz w:val="20"/>
          <w:szCs w:val="20"/>
        </w:rPr>
        <w:t>, including:</w:t>
      </w:r>
      <w:r w:rsidRPr="00EE5609">
        <w:rPr>
          <w:rFonts w:ascii="Verdana" w:hAnsi="Verdana"/>
          <w:sz w:val="20"/>
          <w:szCs w:val="20"/>
        </w:rPr>
        <w:t xml:space="preserve"> </w:t>
      </w:r>
    </w:p>
    <w:p w14:paraId="767B4A66" w14:textId="77777777" w:rsidR="00AF3902" w:rsidRPr="00EE5609" w:rsidRDefault="00AF3902" w:rsidP="00AF3902">
      <w:pPr>
        <w:spacing w:after="0"/>
        <w:rPr>
          <w:rFonts w:ascii="Verdana" w:hAnsi="Verdana"/>
          <w:b/>
          <w:sz w:val="20"/>
          <w:szCs w:val="20"/>
        </w:rPr>
      </w:pPr>
    </w:p>
    <w:p w14:paraId="6BD9F49A" w14:textId="7CF49C82" w:rsidR="00B16CF8" w:rsidRDefault="00964D9B" w:rsidP="00BB364E">
      <w:pPr>
        <w:pStyle w:val="ListParagraph"/>
        <w:numPr>
          <w:ilvl w:val="0"/>
          <w:numId w:val="8"/>
        </w:numPr>
        <w:rPr>
          <w:rFonts w:ascii="Verdana" w:hAnsi="Verdana"/>
          <w:sz w:val="20"/>
          <w:szCs w:val="20"/>
        </w:rPr>
      </w:pPr>
      <w:r>
        <w:rPr>
          <w:rFonts w:ascii="Verdana" w:hAnsi="Verdana"/>
          <w:sz w:val="20"/>
          <w:szCs w:val="20"/>
        </w:rPr>
        <w:t>e</w:t>
      </w:r>
      <w:r w:rsidR="00EE5609">
        <w:rPr>
          <w:rFonts w:ascii="Verdana" w:hAnsi="Verdana"/>
          <w:sz w:val="20"/>
          <w:szCs w:val="20"/>
        </w:rPr>
        <w:t xml:space="preserve">ffectively </w:t>
      </w:r>
      <w:r w:rsidR="00EE5609" w:rsidRPr="00EE5609">
        <w:rPr>
          <w:rFonts w:ascii="Verdana" w:hAnsi="Verdana"/>
          <w:sz w:val="20"/>
          <w:szCs w:val="20"/>
        </w:rPr>
        <w:t xml:space="preserve">matching data held by the local authority with </w:t>
      </w:r>
      <w:r w:rsidR="009A5B0A">
        <w:rPr>
          <w:rFonts w:ascii="Verdana" w:hAnsi="Verdana"/>
          <w:sz w:val="20"/>
          <w:szCs w:val="20"/>
        </w:rPr>
        <w:t>g</w:t>
      </w:r>
      <w:r w:rsidR="00EE5609" w:rsidRPr="00EE5609">
        <w:rPr>
          <w:rFonts w:ascii="Verdana" w:hAnsi="Verdana"/>
          <w:sz w:val="20"/>
          <w:szCs w:val="20"/>
        </w:rPr>
        <w:t>overnment data</w:t>
      </w:r>
      <w:r w:rsidR="008111A4">
        <w:rPr>
          <w:rFonts w:ascii="Verdana" w:hAnsi="Verdana"/>
          <w:sz w:val="20"/>
          <w:szCs w:val="20"/>
        </w:rPr>
        <w:t>;</w:t>
      </w:r>
    </w:p>
    <w:p w14:paraId="41BCA039" w14:textId="57F41452" w:rsidR="00EE5609" w:rsidRDefault="00964D9B" w:rsidP="00BB364E">
      <w:pPr>
        <w:pStyle w:val="ListParagraph"/>
        <w:numPr>
          <w:ilvl w:val="0"/>
          <w:numId w:val="8"/>
        </w:numPr>
        <w:rPr>
          <w:rFonts w:ascii="Verdana" w:hAnsi="Verdana"/>
          <w:sz w:val="20"/>
          <w:szCs w:val="20"/>
        </w:rPr>
      </w:pPr>
      <w:r>
        <w:rPr>
          <w:rFonts w:ascii="Verdana" w:hAnsi="Verdana"/>
          <w:sz w:val="20"/>
          <w:szCs w:val="20"/>
        </w:rPr>
        <w:t>targeted communication strategies that didn’t rely on digital outreach</w:t>
      </w:r>
      <w:r w:rsidR="008111A4">
        <w:rPr>
          <w:rFonts w:ascii="Verdana" w:hAnsi="Verdana"/>
          <w:sz w:val="20"/>
          <w:szCs w:val="20"/>
        </w:rPr>
        <w:t>;</w:t>
      </w:r>
    </w:p>
    <w:p w14:paraId="14C463B6" w14:textId="6F408C48" w:rsidR="00964D9B" w:rsidRDefault="00964D9B" w:rsidP="00BB364E">
      <w:pPr>
        <w:pStyle w:val="ListParagraph"/>
        <w:numPr>
          <w:ilvl w:val="0"/>
          <w:numId w:val="8"/>
        </w:numPr>
        <w:rPr>
          <w:rFonts w:ascii="Verdana" w:hAnsi="Verdana"/>
          <w:sz w:val="20"/>
          <w:szCs w:val="20"/>
        </w:rPr>
      </w:pPr>
      <w:r w:rsidRPr="00964D9B">
        <w:rPr>
          <w:rFonts w:ascii="Verdana" w:hAnsi="Verdana"/>
          <w:sz w:val="20"/>
          <w:szCs w:val="20"/>
        </w:rPr>
        <w:t>collaborat</w:t>
      </w:r>
      <w:r>
        <w:rPr>
          <w:rFonts w:ascii="Verdana" w:hAnsi="Verdana"/>
          <w:sz w:val="20"/>
          <w:szCs w:val="20"/>
        </w:rPr>
        <w:t>ion</w:t>
      </w:r>
      <w:r w:rsidRPr="00964D9B">
        <w:rPr>
          <w:rFonts w:ascii="Verdana" w:hAnsi="Verdana"/>
          <w:sz w:val="20"/>
          <w:szCs w:val="20"/>
        </w:rPr>
        <w:t xml:space="preserve"> with local partners</w:t>
      </w:r>
      <w:r>
        <w:rPr>
          <w:rFonts w:ascii="Verdana" w:hAnsi="Verdana"/>
          <w:sz w:val="20"/>
          <w:szCs w:val="20"/>
        </w:rPr>
        <w:t xml:space="preserve"> to </w:t>
      </w:r>
      <w:r w:rsidRPr="00964D9B">
        <w:rPr>
          <w:rFonts w:ascii="Verdana" w:hAnsi="Verdana"/>
          <w:sz w:val="20"/>
          <w:szCs w:val="20"/>
        </w:rPr>
        <w:t>embed communications about Pension Credit into existing relationships</w:t>
      </w:r>
      <w:r w:rsidR="008111A4">
        <w:rPr>
          <w:rFonts w:ascii="Verdana" w:hAnsi="Verdana"/>
          <w:sz w:val="20"/>
          <w:szCs w:val="20"/>
        </w:rPr>
        <w:t>; and</w:t>
      </w:r>
    </w:p>
    <w:p w14:paraId="1DAC922E" w14:textId="4470EFC4" w:rsidR="00964D9B" w:rsidRDefault="008111A4" w:rsidP="00BB364E">
      <w:pPr>
        <w:pStyle w:val="ListParagraph"/>
        <w:numPr>
          <w:ilvl w:val="0"/>
          <w:numId w:val="8"/>
        </w:numPr>
        <w:rPr>
          <w:rFonts w:ascii="Verdana" w:hAnsi="Verdana"/>
          <w:sz w:val="20"/>
          <w:szCs w:val="20"/>
        </w:rPr>
      </w:pPr>
      <w:r>
        <w:rPr>
          <w:rFonts w:ascii="Verdana" w:hAnsi="Verdana"/>
          <w:sz w:val="20"/>
          <w:szCs w:val="20"/>
        </w:rPr>
        <w:t xml:space="preserve">evaluation of successful claims and the challenges identified in their approaches. </w:t>
      </w:r>
    </w:p>
    <w:p w14:paraId="65B9EEA1" w14:textId="4E4115AC" w:rsidR="00CA4074" w:rsidRDefault="00CA4074" w:rsidP="00AF3902">
      <w:pPr>
        <w:spacing w:after="0"/>
        <w:rPr>
          <w:rFonts w:ascii="Verdana" w:hAnsi="Verdana"/>
          <w:sz w:val="20"/>
          <w:szCs w:val="20"/>
        </w:rPr>
      </w:pPr>
      <w:r w:rsidRPr="00CA4074">
        <w:rPr>
          <w:rFonts w:ascii="Verdana" w:hAnsi="Verdana"/>
          <w:b/>
          <w:bCs/>
          <w:sz w:val="20"/>
          <w:szCs w:val="20"/>
        </w:rPr>
        <w:t xml:space="preserve">How is devolved government approaching </w:t>
      </w:r>
      <w:r w:rsidR="00CD5FD2">
        <w:rPr>
          <w:rFonts w:ascii="Verdana" w:hAnsi="Verdana"/>
          <w:b/>
          <w:bCs/>
          <w:sz w:val="20"/>
          <w:szCs w:val="20"/>
        </w:rPr>
        <w:t>low benefit uptake</w:t>
      </w:r>
      <w:r w:rsidRPr="00CA4074">
        <w:rPr>
          <w:rFonts w:ascii="Verdana" w:hAnsi="Verdana"/>
          <w:b/>
          <w:bCs/>
          <w:sz w:val="20"/>
          <w:szCs w:val="20"/>
        </w:rPr>
        <w:t>?</w:t>
      </w:r>
    </w:p>
    <w:p w14:paraId="1358D095" w14:textId="5DA04D24" w:rsidR="00D80E0E" w:rsidRDefault="00D80E0E" w:rsidP="00AF3902">
      <w:pPr>
        <w:spacing w:after="0"/>
        <w:rPr>
          <w:rFonts w:ascii="Verdana" w:hAnsi="Verdana"/>
          <w:sz w:val="20"/>
          <w:szCs w:val="20"/>
        </w:rPr>
      </w:pPr>
      <w:r w:rsidRPr="00D80E0E">
        <w:rPr>
          <w:rFonts w:ascii="Verdana" w:hAnsi="Verdana"/>
          <w:sz w:val="20"/>
          <w:szCs w:val="20"/>
        </w:rPr>
        <w:t xml:space="preserve">Devolved </w:t>
      </w:r>
      <w:r w:rsidR="009A5B0A">
        <w:rPr>
          <w:rFonts w:ascii="Verdana" w:hAnsi="Verdana"/>
          <w:sz w:val="20"/>
          <w:szCs w:val="20"/>
        </w:rPr>
        <w:t>g</w:t>
      </w:r>
      <w:r w:rsidRPr="00D80E0E">
        <w:rPr>
          <w:rFonts w:ascii="Verdana" w:hAnsi="Verdana"/>
          <w:sz w:val="20"/>
          <w:szCs w:val="20"/>
        </w:rPr>
        <w:t>overnments are also leading the way on commitments and strategic plans to tackle low benefit uptake</w:t>
      </w:r>
      <w:r w:rsidR="0017407F">
        <w:rPr>
          <w:rFonts w:ascii="Verdana" w:hAnsi="Verdana"/>
          <w:sz w:val="20"/>
          <w:szCs w:val="20"/>
        </w:rPr>
        <w:t xml:space="preserve"> more generally</w:t>
      </w:r>
      <w:r w:rsidRPr="00D80E0E">
        <w:rPr>
          <w:rFonts w:ascii="Verdana" w:hAnsi="Verdana"/>
          <w:sz w:val="20"/>
          <w:szCs w:val="20"/>
        </w:rPr>
        <w:t>.</w:t>
      </w:r>
    </w:p>
    <w:p w14:paraId="2ABD709F" w14:textId="77777777" w:rsidR="00AF3902" w:rsidRDefault="00AF3902" w:rsidP="00AF3902">
      <w:pPr>
        <w:spacing w:after="0"/>
        <w:rPr>
          <w:rFonts w:ascii="Verdana" w:hAnsi="Verdana"/>
          <w:sz w:val="20"/>
          <w:szCs w:val="20"/>
        </w:rPr>
      </w:pPr>
    </w:p>
    <w:p w14:paraId="30EBE7F8" w14:textId="77777777" w:rsidR="001E68D9" w:rsidRDefault="00D80E0E" w:rsidP="001E68D9">
      <w:pPr>
        <w:numPr>
          <w:ilvl w:val="0"/>
          <w:numId w:val="3"/>
        </w:numPr>
        <w:rPr>
          <w:rFonts w:ascii="Verdana" w:hAnsi="Verdana"/>
          <w:sz w:val="20"/>
          <w:szCs w:val="20"/>
        </w:rPr>
      </w:pPr>
      <w:r w:rsidRPr="00D80E0E">
        <w:rPr>
          <w:rFonts w:ascii="Verdana" w:hAnsi="Verdana"/>
          <w:sz w:val="20"/>
          <w:szCs w:val="20"/>
        </w:rPr>
        <w:t>As part of the devolution of certain benefits (not including Pension Credit)</w:t>
      </w:r>
      <w:r>
        <w:rPr>
          <w:rFonts w:ascii="Verdana" w:hAnsi="Verdana"/>
          <w:sz w:val="20"/>
          <w:szCs w:val="20"/>
        </w:rPr>
        <w:t xml:space="preserve">, </w:t>
      </w:r>
      <w:r w:rsidRPr="00D80E0E">
        <w:rPr>
          <w:rFonts w:ascii="Verdana" w:hAnsi="Verdana"/>
          <w:sz w:val="20"/>
          <w:szCs w:val="20"/>
        </w:rPr>
        <w:t>Sections 8 and 9 of the Social Security (Scotland) Act 2018 require Scottish Ministers to prepare, publish and lay before Parliament strategies to promote the take-up of Scottish social security assistance. </w:t>
      </w:r>
    </w:p>
    <w:p w14:paraId="6A755050" w14:textId="48F66E22" w:rsidR="00D80E0E" w:rsidRDefault="00D80E0E" w:rsidP="001E68D9">
      <w:pPr>
        <w:numPr>
          <w:ilvl w:val="0"/>
          <w:numId w:val="3"/>
        </w:numPr>
        <w:rPr>
          <w:rFonts w:ascii="Verdana" w:hAnsi="Verdana"/>
          <w:sz w:val="20"/>
          <w:szCs w:val="20"/>
        </w:rPr>
      </w:pPr>
      <w:r w:rsidRPr="001E68D9">
        <w:rPr>
          <w:rFonts w:ascii="Verdana" w:hAnsi="Verdana"/>
          <w:sz w:val="20"/>
          <w:szCs w:val="20"/>
        </w:rPr>
        <w:t xml:space="preserve">The Welsh </w:t>
      </w:r>
      <w:r w:rsidR="00AC7DAB" w:rsidRPr="001E68D9">
        <w:rPr>
          <w:rFonts w:ascii="Verdana" w:hAnsi="Verdana"/>
          <w:sz w:val="20"/>
          <w:szCs w:val="20"/>
        </w:rPr>
        <w:t>g</w:t>
      </w:r>
      <w:r w:rsidRPr="001E68D9">
        <w:rPr>
          <w:rFonts w:ascii="Verdana" w:hAnsi="Verdana"/>
          <w:sz w:val="20"/>
          <w:szCs w:val="20"/>
        </w:rPr>
        <w:t xml:space="preserve">overnment are devising a Charter to improve the uptake of Pension Credit as part of their </w:t>
      </w:r>
      <w:r w:rsidRPr="001E68D9">
        <w:rPr>
          <w:rFonts w:ascii="Verdana" w:hAnsi="Verdana"/>
          <w:i/>
          <w:iCs/>
          <w:sz w:val="20"/>
          <w:szCs w:val="20"/>
        </w:rPr>
        <w:t>Strategy for an Ageing Society: Delivery Plan 2022. </w:t>
      </w:r>
      <w:r w:rsidRPr="001E68D9">
        <w:rPr>
          <w:rFonts w:ascii="Verdana" w:hAnsi="Verdana"/>
          <w:sz w:val="20"/>
          <w:szCs w:val="20"/>
        </w:rPr>
        <w:t> </w:t>
      </w:r>
    </w:p>
    <w:p w14:paraId="33355D62" w14:textId="77777777" w:rsidR="005B38A2" w:rsidRPr="001E68D9" w:rsidRDefault="005B38A2" w:rsidP="005B38A2">
      <w:pPr>
        <w:ind w:left="360"/>
        <w:rPr>
          <w:rFonts w:ascii="Verdana" w:hAnsi="Verdana"/>
          <w:sz w:val="20"/>
          <w:szCs w:val="20"/>
        </w:rPr>
      </w:pPr>
    </w:p>
    <w:p w14:paraId="3196FB35" w14:textId="77777777" w:rsidR="00D80E0E" w:rsidRPr="00D80E0E" w:rsidRDefault="00D80E0E" w:rsidP="00D80E0E">
      <w:pPr>
        <w:numPr>
          <w:ilvl w:val="0"/>
          <w:numId w:val="3"/>
        </w:numPr>
        <w:rPr>
          <w:rFonts w:ascii="Verdana" w:hAnsi="Verdana"/>
          <w:sz w:val="20"/>
          <w:szCs w:val="20"/>
        </w:rPr>
      </w:pPr>
      <w:r w:rsidRPr="00D80E0E">
        <w:rPr>
          <w:rFonts w:ascii="Verdana" w:hAnsi="Verdana"/>
          <w:sz w:val="20"/>
          <w:szCs w:val="20"/>
        </w:rPr>
        <w:t xml:space="preserve">In Northern Ireland, the Department for Communities has a KPI to increase benefit uptake and has committed to developing an anti-poverty strategy following its </w:t>
      </w:r>
      <w:r w:rsidRPr="00D80E0E">
        <w:rPr>
          <w:rFonts w:ascii="Verdana" w:hAnsi="Verdana"/>
          <w:i/>
          <w:iCs/>
          <w:sz w:val="20"/>
          <w:szCs w:val="20"/>
        </w:rPr>
        <w:t xml:space="preserve">Supporting People - Maximising Income through the Uptake of Benefits </w:t>
      </w:r>
      <w:r w:rsidRPr="00D80E0E">
        <w:rPr>
          <w:rFonts w:ascii="Verdana" w:hAnsi="Verdana"/>
          <w:sz w:val="20"/>
          <w:szCs w:val="20"/>
        </w:rPr>
        <w:t>benefit uptake strategy.    </w:t>
      </w:r>
    </w:p>
    <w:p w14:paraId="60C7B5D2" w14:textId="5B6947B5" w:rsidR="00CB2717" w:rsidRDefault="00D80E0E" w:rsidP="00CB2717">
      <w:pPr>
        <w:rPr>
          <w:rFonts w:ascii="Verdana" w:hAnsi="Verdana"/>
          <w:sz w:val="20"/>
          <w:szCs w:val="20"/>
        </w:rPr>
      </w:pPr>
      <w:r w:rsidRPr="00D80E0E">
        <w:rPr>
          <w:rFonts w:ascii="Verdana" w:hAnsi="Verdana"/>
          <w:sz w:val="20"/>
          <w:szCs w:val="20"/>
        </w:rPr>
        <w:t xml:space="preserve">In England, and in the </w:t>
      </w:r>
      <w:r w:rsidR="00AA0A0D" w:rsidRPr="00D80E0E">
        <w:rPr>
          <w:rFonts w:ascii="Verdana" w:hAnsi="Verdana"/>
          <w:sz w:val="20"/>
          <w:szCs w:val="20"/>
        </w:rPr>
        <w:t>UK, there</w:t>
      </w:r>
      <w:r w:rsidRPr="00D80E0E">
        <w:rPr>
          <w:rFonts w:ascii="Verdana" w:hAnsi="Verdana"/>
          <w:sz w:val="20"/>
          <w:szCs w:val="20"/>
        </w:rPr>
        <w:t xml:space="preserve"> is currently no written strategy for increasing the uptake of benefits, including Pension Credit, and no published strategy for tackling poverty. </w:t>
      </w:r>
      <w:r w:rsidR="00CA4074" w:rsidRPr="00CA4074">
        <w:rPr>
          <w:rFonts w:ascii="Verdana" w:hAnsi="Verdana"/>
          <w:sz w:val="20"/>
          <w:szCs w:val="20"/>
        </w:rPr>
        <w:t xml:space="preserve"> </w:t>
      </w:r>
    </w:p>
    <w:p w14:paraId="7BDE6886" w14:textId="37556FB0" w:rsidR="00205FCE" w:rsidRDefault="00F50A55" w:rsidP="00CA4074">
      <w:pPr>
        <w:rPr>
          <w:rFonts w:ascii="Verdana" w:hAnsi="Verdana"/>
          <w:b/>
          <w:bCs/>
          <w:sz w:val="20"/>
          <w:szCs w:val="20"/>
        </w:rPr>
      </w:pPr>
      <w:r>
        <w:rPr>
          <w:rFonts w:ascii="Verdana" w:hAnsi="Verdana"/>
          <w:b/>
          <w:bCs/>
          <w:sz w:val="20"/>
          <w:szCs w:val="20"/>
        </w:rPr>
        <w:t xml:space="preserve">A </w:t>
      </w:r>
      <w:r w:rsidRPr="00271BC4">
        <w:rPr>
          <w:rFonts w:ascii="Verdana" w:hAnsi="Verdana"/>
          <w:b/>
          <w:bCs/>
          <w:sz w:val="20"/>
          <w:szCs w:val="20"/>
        </w:rPr>
        <w:t>Pension Credit uptake strategic action plan</w:t>
      </w:r>
      <w:r w:rsidR="009B7E3C">
        <w:rPr>
          <w:rFonts w:ascii="Verdana" w:hAnsi="Verdana"/>
          <w:b/>
          <w:bCs/>
          <w:sz w:val="20"/>
          <w:szCs w:val="20"/>
        </w:rPr>
        <w:t xml:space="preserve"> for the UK</w:t>
      </w:r>
      <w:r w:rsidRPr="00F50A55">
        <w:rPr>
          <w:rFonts w:ascii="Verdana" w:hAnsi="Verdana"/>
          <w:b/>
          <w:bCs/>
          <w:sz w:val="20"/>
          <w:szCs w:val="20"/>
        </w:rPr>
        <w:t xml:space="preserve"> </w:t>
      </w:r>
      <w:r>
        <w:rPr>
          <w:rFonts w:ascii="Verdana" w:hAnsi="Verdana"/>
          <w:b/>
          <w:bCs/>
          <w:sz w:val="20"/>
          <w:szCs w:val="20"/>
        </w:rPr>
        <w:t>should</w:t>
      </w:r>
      <w:r w:rsidR="00E51214">
        <w:rPr>
          <w:rFonts w:ascii="Verdana" w:hAnsi="Verdana"/>
          <w:b/>
          <w:bCs/>
          <w:sz w:val="20"/>
          <w:szCs w:val="20"/>
        </w:rPr>
        <w:t xml:space="preserve"> include:</w:t>
      </w:r>
    </w:p>
    <w:p w14:paraId="0D8D2BA8" w14:textId="77777777" w:rsidR="00E51214" w:rsidRPr="00E51214" w:rsidRDefault="00E51214" w:rsidP="00BB364E">
      <w:pPr>
        <w:pStyle w:val="ListParagraph"/>
        <w:numPr>
          <w:ilvl w:val="0"/>
          <w:numId w:val="9"/>
        </w:numPr>
        <w:rPr>
          <w:rFonts w:ascii="Verdana" w:hAnsi="Verdana"/>
          <w:sz w:val="20"/>
          <w:szCs w:val="20"/>
        </w:rPr>
      </w:pPr>
      <w:r w:rsidRPr="00E51214">
        <w:rPr>
          <w:rFonts w:ascii="Verdana" w:hAnsi="Verdana"/>
          <w:sz w:val="20"/>
          <w:szCs w:val="20"/>
        </w:rPr>
        <w:t xml:space="preserve">Urgent proposals and flexible funding for local authorities to target support at those missing out and get money into pensioners’ pockets in the short-term. </w:t>
      </w:r>
    </w:p>
    <w:p w14:paraId="7BD07E01" w14:textId="7A4AAAF9" w:rsidR="00E51214" w:rsidRPr="00E51214" w:rsidRDefault="00E51214" w:rsidP="00BB364E">
      <w:pPr>
        <w:pStyle w:val="ListParagraph"/>
        <w:numPr>
          <w:ilvl w:val="0"/>
          <w:numId w:val="9"/>
        </w:numPr>
        <w:rPr>
          <w:rFonts w:ascii="Verdana" w:hAnsi="Verdana"/>
          <w:sz w:val="20"/>
          <w:szCs w:val="20"/>
        </w:rPr>
      </w:pPr>
      <w:r w:rsidRPr="00E51214">
        <w:rPr>
          <w:rFonts w:ascii="Verdana" w:hAnsi="Verdana"/>
          <w:sz w:val="20"/>
          <w:szCs w:val="20"/>
        </w:rPr>
        <w:t>Plans to explore long-term solutions, for example, automatic payments</w:t>
      </w:r>
      <w:r>
        <w:rPr>
          <w:rFonts w:ascii="Verdana" w:hAnsi="Verdana"/>
          <w:sz w:val="20"/>
          <w:szCs w:val="20"/>
        </w:rPr>
        <w:t>.</w:t>
      </w:r>
    </w:p>
    <w:p w14:paraId="087EF27D" w14:textId="77777777" w:rsidR="00E51214" w:rsidRDefault="00E51214" w:rsidP="00BB364E">
      <w:pPr>
        <w:pStyle w:val="ListParagraph"/>
        <w:numPr>
          <w:ilvl w:val="0"/>
          <w:numId w:val="9"/>
        </w:numPr>
        <w:rPr>
          <w:rFonts w:ascii="Verdana" w:hAnsi="Verdana"/>
          <w:sz w:val="20"/>
          <w:szCs w:val="20"/>
        </w:rPr>
      </w:pPr>
      <w:r w:rsidRPr="00E51214">
        <w:rPr>
          <w:rFonts w:ascii="Verdana" w:hAnsi="Verdana"/>
          <w:sz w:val="20"/>
          <w:szCs w:val="20"/>
        </w:rPr>
        <w:t>Coordination with plans being delivered across devolved governments.</w:t>
      </w:r>
    </w:p>
    <w:p w14:paraId="76F04A18" w14:textId="77777777" w:rsidR="00794634" w:rsidRPr="00E51214" w:rsidRDefault="00794634" w:rsidP="00794634">
      <w:pPr>
        <w:pStyle w:val="ListParagraph"/>
        <w:rPr>
          <w:rFonts w:ascii="Verdana" w:hAnsi="Verdana"/>
          <w:sz w:val="20"/>
          <w:szCs w:val="20"/>
        </w:rPr>
      </w:pPr>
    </w:p>
    <w:p w14:paraId="6AD9B852" w14:textId="215CBB4B" w:rsidR="00E51214" w:rsidRPr="00E51214" w:rsidRDefault="00E51214" w:rsidP="00E51214">
      <w:pPr>
        <w:rPr>
          <w:rFonts w:ascii="Verdana" w:hAnsi="Verdana"/>
          <w:sz w:val="20"/>
          <w:szCs w:val="20"/>
        </w:rPr>
      </w:pPr>
      <w:r>
        <w:rPr>
          <w:rFonts w:ascii="Verdana" w:hAnsi="Verdana"/>
          <w:sz w:val="20"/>
          <w:szCs w:val="20"/>
        </w:rPr>
        <w:t xml:space="preserve">For more information contact </w:t>
      </w:r>
      <w:hyperlink r:id="rId11" w:history="1">
        <w:r w:rsidRPr="00B03B08">
          <w:rPr>
            <w:rStyle w:val="Hyperlink"/>
            <w:rFonts w:ascii="Verdana" w:hAnsi="Verdana"/>
            <w:sz w:val="20"/>
            <w:szCs w:val="20"/>
          </w:rPr>
          <w:t>Public.Affairs@independentage.org</w:t>
        </w:r>
      </w:hyperlink>
      <w:r>
        <w:rPr>
          <w:rFonts w:ascii="Verdana" w:hAnsi="Verdana"/>
          <w:sz w:val="20"/>
          <w:szCs w:val="20"/>
        </w:rPr>
        <w:t xml:space="preserve"> </w:t>
      </w:r>
    </w:p>
    <w:sectPr w:rsidR="00E51214" w:rsidRPr="00E51214" w:rsidSect="005F2A69">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0A2" w14:textId="77777777" w:rsidR="003B0D5E" w:rsidRDefault="003B0D5E" w:rsidP="00271BC4">
      <w:pPr>
        <w:spacing w:after="0" w:line="240" w:lineRule="auto"/>
      </w:pPr>
      <w:r>
        <w:separator/>
      </w:r>
    </w:p>
  </w:endnote>
  <w:endnote w:type="continuationSeparator" w:id="0">
    <w:p w14:paraId="7F65F520" w14:textId="77777777" w:rsidR="003B0D5E" w:rsidRDefault="003B0D5E" w:rsidP="00271BC4">
      <w:pPr>
        <w:spacing w:after="0" w:line="240" w:lineRule="auto"/>
      </w:pPr>
      <w:r>
        <w:continuationSeparator/>
      </w:r>
    </w:p>
  </w:endnote>
  <w:endnote w:type="continuationNotice" w:id="1">
    <w:p w14:paraId="2A8BCB98" w14:textId="77777777" w:rsidR="003B0D5E" w:rsidRDefault="003B0D5E">
      <w:pPr>
        <w:spacing w:after="0" w:line="240" w:lineRule="auto"/>
      </w:pPr>
    </w:p>
  </w:endnote>
  <w:endnote w:id="2">
    <w:p w14:paraId="48BE5F73" w14:textId="77777777" w:rsidR="007703B9" w:rsidRPr="007D3A1E" w:rsidRDefault="007703B9" w:rsidP="007703B9">
      <w:pPr>
        <w:pStyle w:val="EndnoteText"/>
        <w:rPr>
          <w:sz w:val="16"/>
          <w:szCs w:val="16"/>
        </w:rPr>
      </w:pPr>
      <w:r w:rsidRPr="007D3A1E">
        <w:rPr>
          <w:rStyle w:val="EndnoteReference"/>
          <w:sz w:val="16"/>
          <w:szCs w:val="16"/>
        </w:rPr>
        <w:endnoteRef/>
      </w:r>
      <w:r w:rsidRPr="007D3A1E">
        <w:rPr>
          <w:sz w:val="16"/>
          <w:szCs w:val="16"/>
        </w:rPr>
        <w:t xml:space="preserve"> </w:t>
      </w:r>
      <w:r w:rsidRPr="007D3A1E">
        <w:rPr>
          <w:rFonts w:eastAsia="Calibri" w:cs="Calibri"/>
          <w:i/>
          <w:iCs/>
          <w:sz w:val="16"/>
          <w:szCs w:val="16"/>
        </w:rPr>
        <w:t>Income related benefits: estimates of take-up: financial year 2019-2020</w:t>
      </w:r>
      <w:r w:rsidRPr="007D3A1E">
        <w:rPr>
          <w:rFonts w:eastAsia="Calibri" w:cs="Calibri"/>
          <w:sz w:val="16"/>
          <w:szCs w:val="16"/>
        </w:rPr>
        <w:t xml:space="preserve">, Department for Work and Pensions, Feb 2022, available from: </w:t>
      </w:r>
      <w:hyperlink r:id="rId1" w:history="1">
        <w:r w:rsidRPr="007D3A1E">
          <w:rPr>
            <w:rStyle w:val="Hyperlink"/>
            <w:sz w:val="16"/>
            <w:szCs w:val="16"/>
          </w:rPr>
          <w:t>https://www.gov.uk/government/statistics/income-related-benefits-estimates-of-take-up-financial-year-2019-to-2020</w:t>
        </w:r>
      </w:hyperlink>
      <w:r w:rsidRPr="007D3A1E">
        <w:rPr>
          <w:sz w:val="16"/>
          <w:szCs w:val="16"/>
        </w:rPr>
        <w:t xml:space="preserve"> </w:t>
      </w:r>
    </w:p>
  </w:endnote>
  <w:endnote w:id="3">
    <w:p w14:paraId="6ADF52CE" w14:textId="36318925" w:rsidR="00875C8D" w:rsidRPr="0096479B" w:rsidRDefault="00875C8D">
      <w:pPr>
        <w:pStyle w:val="EndnoteText"/>
      </w:pPr>
      <w:r>
        <w:rPr>
          <w:rStyle w:val="EndnoteReference"/>
        </w:rPr>
        <w:endnoteRef/>
      </w:r>
      <w:r>
        <w:t xml:space="preserve"> </w:t>
      </w:r>
      <w:r w:rsidR="0096479B" w:rsidRPr="0096479B">
        <w:rPr>
          <w:sz w:val="16"/>
          <w:szCs w:val="16"/>
        </w:rPr>
        <w:t xml:space="preserve">Eligible pensioners urged to apply for Pension Credit in new campaign, </w:t>
      </w:r>
      <w:r w:rsidR="0056475D" w:rsidRPr="0096479B">
        <w:rPr>
          <w:sz w:val="16"/>
          <w:szCs w:val="16"/>
        </w:rPr>
        <w:t>Department for Work and Pensions</w:t>
      </w:r>
      <w:r w:rsidR="0096479B" w:rsidRPr="0096479B">
        <w:rPr>
          <w:sz w:val="16"/>
          <w:szCs w:val="16"/>
        </w:rPr>
        <w:t>, April 2022</w:t>
      </w:r>
      <w:r w:rsidR="0096479B">
        <w:rPr>
          <w:sz w:val="16"/>
          <w:szCs w:val="16"/>
        </w:rPr>
        <w:t>. Available from</w:t>
      </w:r>
      <w:r w:rsidR="00921FB5">
        <w:rPr>
          <w:sz w:val="16"/>
          <w:szCs w:val="16"/>
        </w:rPr>
        <w:t>:</w:t>
      </w:r>
      <w:r w:rsidR="00921FB5">
        <w:rPr>
          <w:rFonts w:asciiTheme="minorHAnsi" w:eastAsiaTheme="minorHAnsi" w:hAnsiTheme="minorHAnsi" w:cstheme="minorBidi"/>
          <w:color w:val="0000FF"/>
          <w:u w:val="single"/>
        </w:rPr>
        <w:t xml:space="preserve"> </w:t>
      </w:r>
      <w:r w:rsidR="00921FB5" w:rsidRPr="00921FB5">
        <w:rPr>
          <w:rFonts w:asciiTheme="minorHAnsi" w:eastAsiaTheme="minorHAnsi" w:hAnsiTheme="minorHAnsi" w:cstheme="minorBidi"/>
          <w:color w:val="0000FF"/>
          <w:u w:val="single"/>
        </w:rPr>
        <w:t>https://www.gov.uk/government/news/eligible-pensioners-urged-to-apply-for-pension-credit-in-new-campaign</w:t>
      </w:r>
    </w:p>
  </w:endnote>
  <w:endnote w:id="4">
    <w:p w14:paraId="325BFF01" w14:textId="1E2A8DDD" w:rsidR="00EE316A" w:rsidRDefault="00EE316A">
      <w:pPr>
        <w:pStyle w:val="EndnoteText"/>
      </w:pPr>
      <w:r>
        <w:rPr>
          <w:rStyle w:val="EndnoteReference"/>
        </w:rPr>
        <w:endnoteRef/>
      </w:r>
      <w:r>
        <w:t xml:space="preserve"> </w:t>
      </w:r>
      <w:r w:rsidRPr="00EE316A">
        <w:rPr>
          <w:sz w:val="16"/>
          <w:szCs w:val="16"/>
        </w:rPr>
        <w:t>Credit where it’s due: Ending the £3.5 billion Pension Credit scandal, Independent Age, 26 June 2019, see independentage.org/credit-where-its-due-pension-credit. Calculation updated October 2022</w:t>
      </w:r>
    </w:p>
  </w:endnote>
  <w:endnote w:id="5">
    <w:p w14:paraId="52D8483F" w14:textId="144E2044" w:rsidR="00F52C96" w:rsidRPr="00F52C96" w:rsidRDefault="00F52C96">
      <w:pPr>
        <w:pStyle w:val="EndnoteText"/>
        <w:rPr>
          <w:sz w:val="16"/>
          <w:szCs w:val="16"/>
        </w:rPr>
      </w:pPr>
      <w:r>
        <w:rPr>
          <w:rStyle w:val="EndnoteReference"/>
        </w:rPr>
        <w:endnoteRef/>
      </w:r>
      <w:r>
        <w:t xml:space="preserve"> </w:t>
      </w:r>
      <w:r w:rsidRPr="007D3A1E">
        <w:rPr>
          <w:rFonts w:eastAsia="Calibri" w:cs="Calibri"/>
          <w:i/>
          <w:iCs/>
          <w:sz w:val="16"/>
          <w:szCs w:val="16"/>
        </w:rPr>
        <w:t>Income related benefits: estimates of take-up: financial year 2019-2020</w:t>
      </w:r>
      <w:r w:rsidRPr="007D3A1E">
        <w:rPr>
          <w:rFonts w:eastAsia="Calibri" w:cs="Calibri"/>
          <w:sz w:val="16"/>
          <w:szCs w:val="16"/>
        </w:rPr>
        <w:t xml:space="preserve">, Department for Work and Pensions, Feb 2022, available from: </w:t>
      </w:r>
      <w:hyperlink r:id="rId2" w:history="1">
        <w:r w:rsidRPr="007D3A1E">
          <w:rPr>
            <w:rStyle w:val="Hyperlink"/>
            <w:sz w:val="16"/>
            <w:szCs w:val="16"/>
          </w:rPr>
          <w:t>https://www.gov.uk/government/statistics/income-related-benefits-estimates-of-take-up-financial-year-2019-to-2020</w:t>
        </w:r>
      </w:hyperlink>
      <w:r w:rsidRPr="007D3A1E">
        <w:rPr>
          <w:sz w:val="16"/>
          <w:szCs w:val="16"/>
        </w:rPr>
        <w:t xml:space="preserve"> </w:t>
      </w:r>
    </w:p>
  </w:endnote>
  <w:endnote w:id="6">
    <w:p w14:paraId="790FA88B" w14:textId="77777777" w:rsidR="00271BC4" w:rsidRPr="007D3A1E" w:rsidRDefault="00271BC4" w:rsidP="00271BC4">
      <w:pPr>
        <w:pStyle w:val="EndnoteText"/>
        <w:rPr>
          <w:b/>
          <w:bCs/>
          <w:sz w:val="16"/>
          <w:szCs w:val="16"/>
        </w:rPr>
      </w:pPr>
      <w:r w:rsidRPr="007D3A1E">
        <w:rPr>
          <w:rStyle w:val="EndnoteReference"/>
          <w:sz w:val="16"/>
          <w:szCs w:val="16"/>
        </w:rPr>
        <w:endnoteRef/>
      </w:r>
      <w:r w:rsidRPr="007D3A1E">
        <w:rPr>
          <w:sz w:val="16"/>
          <w:szCs w:val="16"/>
        </w:rPr>
        <w:t xml:space="preserve"> Donald Hirsch and Juliet Stone, </w:t>
      </w:r>
      <w:r w:rsidRPr="007D3A1E">
        <w:rPr>
          <w:i/>
          <w:iCs/>
          <w:sz w:val="16"/>
          <w:szCs w:val="16"/>
        </w:rPr>
        <w:t>The Cost of Pensioner Poverty and Non-Take-up of Pension Credit</w:t>
      </w:r>
      <w:r w:rsidRPr="007D3A1E">
        <w:rPr>
          <w:sz w:val="16"/>
          <w:szCs w:val="16"/>
        </w:rPr>
        <w:t xml:space="preserve">, Independent Age, Aug 2020 available from: </w:t>
      </w:r>
      <w:hyperlink r:id="rId3" w:history="1">
        <w:r w:rsidRPr="007D3A1E">
          <w:rPr>
            <w:rStyle w:val="Hyperlink"/>
            <w:sz w:val="16"/>
            <w:szCs w:val="16"/>
          </w:rPr>
          <w:t>https://www.independentage.org/campaigns/PensionCredit/cost-report</w:t>
        </w:r>
      </w:hyperlink>
      <w:r w:rsidRPr="007D3A1E">
        <w:rPr>
          <w:color w:val="FF0000"/>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69473"/>
      <w:docPartObj>
        <w:docPartGallery w:val="Page Numbers (Bottom of Page)"/>
        <w:docPartUnique/>
      </w:docPartObj>
    </w:sdtPr>
    <w:sdtEndPr>
      <w:rPr>
        <w:noProof/>
      </w:rPr>
    </w:sdtEndPr>
    <w:sdtContent>
      <w:p w14:paraId="6E5C219E" w14:textId="653D103D" w:rsidR="00846A9C" w:rsidRDefault="0084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8D599" w14:textId="77777777" w:rsidR="00846A9C" w:rsidRDefault="0084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7B45" w14:textId="77777777" w:rsidR="003B0D5E" w:rsidRDefault="003B0D5E" w:rsidP="00271BC4">
      <w:pPr>
        <w:spacing w:after="0" w:line="240" w:lineRule="auto"/>
      </w:pPr>
      <w:r>
        <w:separator/>
      </w:r>
    </w:p>
  </w:footnote>
  <w:footnote w:type="continuationSeparator" w:id="0">
    <w:p w14:paraId="753BE18B" w14:textId="77777777" w:rsidR="003B0D5E" w:rsidRDefault="003B0D5E" w:rsidP="00271BC4">
      <w:pPr>
        <w:spacing w:after="0" w:line="240" w:lineRule="auto"/>
      </w:pPr>
      <w:r>
        <w:continuationSeparator/>
      </w:r>
    </w:p>
  </w:footnote>
  <w:footnote w:type="continuationNotice" w:id="1">
    <w:p w14:paraId="196C8FFC" w14:textId="77777777" w:rsidR="003B0D5E" w:rsidRDefault="003B0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C12C" w14:textId="5B1289C7" w:rsidR="0037176B" w:rsidRDefault="0037176B">
    <w:pPr>
      <w:pStyle w:val="Header"/>
    </w:pPr>
    <w:r>
      <w:rPr>
        <w:noProof/>
      </w:rPr>
      <w:drawing>
        <wp:anchor distT="0" distB="0" distL="114300" distR="114300" simplePos="0" relativeHeight="251658240" behindDoc="1" locked="0" layoutInCell="1" allowOverlap="1" wp14:anchorId="713C7DF1" wp14:editId="1206C5C4">
          <wp:simplePos x="0" y="0"/>
          <wp:positionH relativeFrom="column">
            <wp:posOffset>1638300</wp:posOffset>
          </wp:positionH>
          <wp:positionV relativeFrom="paragraph">
            <wp:posOffset>-222885</wp:posOffset>
          </wp:positionV>
          <wp:extent cx="4914900" cy="682625"/>
          <wp:effectExtent l="0" t="0" r="0" b="3175"/>
          <wp:wrapTight wrapText="bothSides">
            <wp:wrapPolygon edited="0">
              <wp:start x="10298" y="603"/>
              <wp:lineTo x="9879" y="3014"/>
              <wp:lineTo x="9460" y="8439"/>
              <wp:lineTo x="9377" y="16878"/>
              <wp:lineTo x="11051" y="20495"/>
              <wp:lineTo x="13312" y="21098"/>
              <wp:lineTo x="13730" y="21098"/>
              <wp:lineTo x="14149" y="20495"/>
              <wp:lineTo x="15823" y="13261"/>
              <wp:lineTo x="20930" y="10247"/>
              <wp:lineTo x="20763" y="1808"/>
              <wp:lineTo x="11302" y="603"/>
              <wp:lineTo x="10298" y="603"/>
            </wp:wrapPolygon>
          </wp:wrapTight>
          <wp:docPr id="1" name="Picture 1" descr="A picture containing text, light, traffic,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light, traffic,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14900" cy="682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FED"/>
    <w:multiLevelType w:val="hybridMultilevel"/>
    <w:tmpl w:val="ADD0A602"/>
    <w:lvl w:ilvl="0" w:tplc="A3407FD6">
      <w:start w:val="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2BE8"/>
    <w:multiLevelType w:val="hybridMultilevel"/>
    <w:tmpl w:val="FB405A0C"/>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D22873"/>
    <w:multiLevelType w:val="hybridMultilevel"/>
    <w:tmpl w:val="4300E81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E3343F7"/>
    <w:multiLevelType w:val="hybridMultilevel"/>
    <w:tmpl w:val="AFA4A22C"/>
    <w:lvl w:ilvl="0" w:tplc="74DA6564">
      <w:start w:val="1"/>
      <w:numFmt w:val="bullet"/>
      <w:lvlText w:val=""/>
      <w:lvlJc w:val="left"/>
      <w:pPr>
        <w:ind w:left="360" w:hanging="360"/>
      </w:pPr>
      <w:rPr>
        <w:rFonts w:ascii="Symbol" w:hAnsi="Symbol" w:hint="default"/>
      </w:rPr>
    </w:lvl>
    <w:lvl w:ilvl="1" w:tplc="2E0A7A78">
      <w:start w:val="1"/>
      <w:numFmt w:val="bullet"/>
      <w:lvlText w:val="o"/>
      <w:lvlJc w:val="left"/>
      <w:pPr>
        <w:ind w:left="1080" w:hanging="360"/>
      </w:pPr>
      <w:rPr>
        <w:rFonts w:ascii="Courier New" w:hAnsi="Courier New" w:hint="default"/>
      </w:rPr>
    </w:lvl>
    <w:lvl w:ilvl="2" w:tplc="B5A4D852">
      <w:start w:val="1"/>
      <w:numFmt w:val="bullet"/>
      <w:lvlText w:val=""/>
      <w:lvlJc w:val="left"/>
      <w:pPr>
        <w:ind w:left="1800" w:hanging="360"/>
      </w:pPr>
      <w:rPr>
        <w:rFonts w:ascii="Wingdings" w:hAnsi="Wingdings" w:hint="default"/>
      </w:rPr>
    </w:lvl>
    <w:lvl w:ilvl="3" w:tplc="410494EE">
      <w:start w:val="1"/>
      <w:numFmt w:val="bullet"/>
      <w:lvlText w:val=""/>
      <w:lvlJc w:val="left"/>
      <w:pPr>
        <w:ind w:left="2520" w:hanging="360"/>
      </w:pPr>
      <w:rPr>
        <w:rFonts w:ascii="Symbol" w:hAnsi="Symbol" w:hint="default"/>
      </w:rPr>
    </w:lvl>
    <w:lvl w:ilvl="4" w:tplc="18B43888">
      <w:start w:val="1"/>
      <w:numFmt w:val="bullet"/>
      <w:lvlText w:val="o"/>
      <w:lvlJc w:val="left"/>
      <w:pPr>
        <w:ind w:left="3240" w:hanging="360"/>
      </w:pPr>
      <w:rPr>
        <w:rFonts w:ascii="Courier New" w:hAnsi="Courier New" w:hint="default"/>
      </w:rPr>
    </w:lvl>
    <w:lvl w:ilvl="5" w:tplc="2A763D00">
      <w:start w:val="1"/>
      <w:numFmt w:val="bullet"/>
      <w:lvlText w:val=""/>
      <w:lvlJc w:val="left"/>
      <w:pPr>
        <w:ind w:left="3960" w:hanging="360"/>
      </w:pPr>
      <w:rPr>
        <w:rFonts w:ascii="Wingdings" w:hAnsi="Wingdings" w:hint="default"/>
      </w:rPr>
    </w:lvl>
    <w:lvl w:ilvl="6" w:tplc="B5E8FCD6">
      <w:start w:val="1"/>
      <w:numFmt w:val="bullet"/>
      <w:lvlText w:val=""/>
      <w:lvlJc w:val="left"/>
      <w:pPr>
        <w:ind w:left="4680" w:hanging="360"/>
      </w:pPr>
      <w:rPr>
        <w:rFonts w:ascii="Symbol" w:hAnsi="Symbol" w:hint="default"/>
      </w:rPr>
    </w:lvl>
    <w:lvl w:ilvl="7" w:tplc="58AC19E0">
      <w:start w:val="1"/>
      <w:numFmt w:val="bullet"/>
      <w:lvlText w:val="o"/>
      <w:lvlJc w:val="left"/>
      <w:pPr>
        <w:ind w:left="5400" w:hanging="360"/>
      </w:pPr>
      <w:rPr>
        <w:rFonts w:ascii="Courier New" w:hAnsi="Courier New" w:hint="default"/>
      </w:rPr>
    </w:lvl>
    <w:lvl w:ilvl="8" w:tplc="F1B2B966">
      <w:start w:val="1"/>
      <w:numFmt w:val="bullet"/>
      <w:lvlText w:val=""/>
      <w:lvlJc w:val="left"/>
      <w:pPr>
        <w:ind w:left="6120" w:hanging="360"/>
      </w:pPr>
      <w:rPr>
        <w:rFonts w:ascii="Wingdings" w:hAnsi="Wingdings" w:hint="default"/>
      </w:rPr>
    </w:lvl>
  </w:abstractNum>
  <w:abstractNum w:abstractNumId="4" w15:restartNumberingAfterBreak="0">
    <w:nsid w:val="22455A1F"/>
    <w:multiLevelType w:val="hybridMultilevel"/>
    <w:tmpl w:val="C01C66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0B269C"/>
    <w:multiLevelType w:val="hybridMultilevel"/>
    <w:tmpl w:val="251E42B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2A1F03"/>
    <w:multiLevelType w:val="hybridMultilevel"/>
    <w:tmpl w:val="D21E8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BD4983"/>
    <w:multiLevelType w:val="hybridMultilevel"/>
    <w:tmpl w:val="7BE09BC2"/>
    <w:lvl w:ilvl="0" w:tplc="E3361D0A">
      <w:start w:val="1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153FA"/>
    <w:multiLevelType w:val="multilevel"/>
    <w:tmpl w:val="BF92E68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60253D76"/>
    <w:multiLevelType w:val="hybridMultilevel"/>
    <w:tmpl w:val="795893D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9C7AA4"/>
    <w:multiLevelType w:val="hybridMultilevel"/>
    <w:tmpl w:val="8E58695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8F4EDC"/>
    <w:multiLevelType w:val="hybridMultilevel"/>
    <w:tmpl w:val="3F7849EC"/>
    <w:lvl w:ilvl="0" w:tplc="A3407FD6">
      <w:start w:val="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3630C"/>
    <w:multiLevelType w:val="hybridMultilevel"/>
    <w:tmpl w:val="48E8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84D61"/>
    <w:multiLevelType w:val="hybridMultilevel"/>
    <w:tmpl w:val="9740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40073">
    <w:abstractNumId w:val="3"/>
  </w:num>
  <w:num w:numId="2" w16cid:durableId="893858977">
    <w:abstractNumId w:val="0"/>
  </w:num>
  <w:num w:numId="3" w16cid:durableId="1146624735">
    <w:abstractNumId w:val="6"/>
  </w:num>
  <w:num w:numId="4" w16cid:durableId="1466895356">
    <w:abstractNumId w:val="11"/>
  </w:num>
  <w:num w:numId="5" w16cid:durableId="1067412867">
    <w:abstractNumId w:val="8"/>
  </w:num>
  <w:num w:numId="6" w16cid:durableId="302463543">
    <w:abstractNumId w:val="13"/>
  </w:num>
  <w:num w:numId="7" w16cid:durableId="574977978">
    <w:abstractNumId w:val="4"/>
  </w:num>
  <w:num w:numId="8" w16cid:durableId="1458138109">
    <w:abstractNumId w:val="5"/>
  </w:num>
  <w:num w:numId="9" w16cid:durableId="156265580">
    <w:abstractNumId w:val="9"/>
  </w:num>
  <w:num w:numId="10" w16cid:durableId="105472112">
    <w:abstractNumId w:val="12"/>
  </w:num>
  <w:num w:numId="11" w16cid:durableId="1923950884">
    <w:abstractNumId w:val="7"/>
  </w:num>
  <w:num w:numId="12" w16cid:durableId="728458289">
    <w:abstractNumId w:val="1"/>
  </w:num>
  <w:num w:numId="13" w16cid:durableId="2078941366">
    <w:abstractNumId w:val="2"/>
  </w:num>
  <w:num w:numId="14" w16cid:durableId="968976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C4"/>
    <w:rsid w:val="00010C3C"/>
    <w:rsid w:val="000339CA"/>
    <w:rsid w:val="00051528"/>
    <w:rsid w:val="00081940"/>
    <w:rsid w:val="0009202E"/>
    <w:rsid w:val="00096223"/>
    <w:rsid w:val="000B1C49"/>
    <w:rsid w:val="000C0097"/>
    <w:rsid w:val="000C2E47"/>
    <w:rsid w:val="000C3E1E"/>
    <w:rsid w:val="000D1AB0"/>
    <w:rsid w:val="000D6DEB"/>
    <w:rsid w:val="00105AF1"/>
    <w:rsid w:val="001152E7"/>
    <w:rsid w:val="00120606"/>
    <w:rsid w:val="001400E6"/>
    <w:rsid w:val="00156AB6"/>
    <w:rsid w:val="00160ABE"/>
    <w:rsid w:val="001618D2"/>
    <w:rsid w:val="00172811"/>
    <w:rsid w:val="0017407F"/>
    <w:rsid w:val="00183100"/>
    <w:rsid w:val="001833EC"/>
    <w:rsid w:val="001911CD"/>
    <w:rsid w:val="00194122"/>
    <w:rsid w:val="001A0E6C"/>
    <w:rsid w:val="001B7B12"/>
    <w:rsid w:val="001C06E3"/>
    <w:rsid w:val="001C3A31"/>
    <w:rsid w:val="001C4274"/>
    <w:rsid w:val="001D0677"/>
    <w:rsid w:val="001E68D9"/>
    <w:rsid w:val="001E6C58"/>
    <w:rsid w:val="001F649D"/>
    <w:rsid w:val="00205FCE"/>
    <w:rsid w:val="00220317"/>
    <w:rsid w:val="002242C0"/>
    <w:rsid w:val="002252C7"/>
    <w:rsid w:val="00230404"/>
    <w:rsid w:val="00235ECC"/>
    <w:rsid w:val="0023647D"/>
    <w:rsid w:val="00236B51"/>
    <w:rsid w:val="00242FA3"/>
    <w:rsid w:val="00261704"/>
    <w:rsid w:val="00264852"/>
    <w:rsid w:val="00271BC4"/>
    <w:rsid w:val="00273201"/>
    <w:rsid w:val="002A7F5A"/>
    <w:rsid w:val="002B0D03"/>
    <w:rsid w:val="002B5A16"/>
    <w:rsid w:val="002C5DE7"/>
    <w:rsid w:val="002D4A42"/>
    <w:rsid w:val="002F7F3A"/>
    <w:rsid w:val="003038D4"/>
    <w:rsid w:val="00316CF7"/>
    <w:rsid w:val="0031720B"/>
    <w:rsid w:val="00320B2A"/>
    <w:rsid w:val="00333837"/>
    <w:rsid w:val="00335378"/>
    <w:rsid w:val="00342D9C"/>
    <w:rsid w:val="00345224"/>
    <w:rsid w:val="00360600"/>
    <w:rsid w:val="0037176B"/>
    <w:rsid w:val="00376709"/>
    <w:rsid w:val="003950BB"/>
    <w:rsid w:val="003950C2"/>
    <w:rsid w:val="00395878"/>
    <w:rsid w:val="003A1593"/>
    <w:rsid w:val="003B0D5E"/>
    <w:rsid w:val="003B427A"/>
    <w:rsid w:val="003F0CA7"/>
    <w:rsid w:val="003F10B7"/>
    <w:rsid w:val="003F24B6"/>
    <w:rsid w:val="004167DB"/>
    <w:rsid w:val="00452D43"/>
    <w:rsid w:val="00455F65"/>
    <w:rsid w:val="00474BA5"/>
    <w:rsid w:val="004A39A7"/>
    <w:rsid w:val="004D149D"/>
    <w:rsid w:val="005200EC"/>
    <w:rsid w:val="005228A8"/>
    <w:rsid w:val="00542EA8"/>
    <w:rsid w:val="0056384C"/>
    <w:rsid w:val="0056475D"/>
    <w:rsid w:val="0059168A"/>
    <w:rsid w:val="005A2B89"/>
    <w:rsid w:val="005A2CAC"/>
    <w:rsid w:val="005A4698"/>
    <w:rsid w:val="005B38A2"/>
    <w:rsid w:val="005C688C"/>
    <w:rsid w:val="005D0343"/>
    <w:rsid w:val="005D2199"/>
    <w:rsid w:val="005E2EDA"/>
    <w:rsid w:val="005F2A69"/>
    <w:rsid w:val="00612BE7"/>
    <w:rsid w:val="00614233"/>
    <w:rsid w:val="00641049"/>
    <w:rsid w:val="00644204"/>
    <w:rsid w:val="00662F45"/>
    <w:rsid w:val="006E2F99"/>
    <w:rsid w:val="006E5DDC"/>
    <w:rsid w:val="006F286C"/>
    <w:rsid w:val="00702068"/>
    <w:rsid w:val="007236DC"/>
    <w:rsid w:val="007248B1"/>
    <w:rsid w:val="0076500B"/>
    <w:rsid w:val="007703B9"/>
    <w:rsid w:val="00776136"/>
    <w:rsid w:val="0077745D"/>
    <w:rsid w:val="0078116B"/>
    <w:rsid w:val="00787495"/>
    <w:rsid w:val="00794634"/>
    <w:rsid w:val="007A4AA0"/>
    <w:rsid w:val="007A4F52"/>
    <w:rsid w:val="00807BF2"/>
    <w:rsid w:val="008111A4"/>
    <w:rsid w:val="00833865"/>
    <w:rsid w:val="00846A9C"/>
    <w:rsid w:val="00873BB3"/>
    <w:rsid w:val="00875C8D"/>
    <w:rsid w:val="00880C7B"/>
    <w:rsid w:val="00881B9C"/>
    <w:rsid w:val="00885BDA"/>
    <w:rsid w:val="008A0F09"/>
    <w:rsid w:val="008F53A5"/>
    <w:rsid w:val="00913075"/>
    <w:rsid w:val="00921FB5"/>
    <w:rsid w:val="009275FF"/>
    <w:rsid w:val="00931852"/>
    <w:rsid w:val="00942097"/>
    <w:rsid w:val="00942DF1"/>
    <w:rsid w:val="0096479B"/>
    <w:rsid w:val="00964D9B"/>
    <w:rsid w:val="0097637C"/>
    <w:rsid w:val="009835E5"/>
    <w:rsid w:val="00995215"/>
    <w:rsid w:val="009A5B0A"/>
    <w:rsid w:val="009A6997"/>
    <w:rsid w:val="009B7E3C"/>
    <w:rsid w:val="009E6936"/>
    <w:rsid w:val="00A0403C"/>
    <w:rsid w:val="00A05AEE"/>
    <w:rsid w:val="00A16FD6"/>
    <w:rsid w:val="00A32E14"/>
    <w:rsid w:val="00A40415"/>
    <w:rsid w:val="00A70D0D"/>
    <w:rsid w:val="00A777DD"/>
    <w:rsid w:val="00A84259"/>
    <w:rsid w:val="00A9560E"/>
    <w:rsid w:val="00AA0A0D"/>
    <w:rsid w:val="00AC1875"/>
    <w:rsid w:val="00AC7DAB"/>
    <w:rsid w:val="00AE0DC7"/>
    <w:rsid w:val="00AE5ACA"/>
    <w:rsid w:val="00AE5B4B"/>
    <w:rsid w:val="00AF3902"/>
    <w:rsid w:val="00B1019D"/>
    <w:rsid w:val="00B16CF8"/>
    <w:rsid w:val="00B175FA"/>
    <w:rsid w:val="00B25862"/>
    <w:rsid w:val="00B50C39"/>
    <w:rsid w:val="00B70376"/>
    <w:rsid w:val="00B731B0"/>
    <w:rsid w:val="00B773C6"/>
    <w:rsid w:val="00B935A3"/>
    <w:rsid w:val="00B93A4D"/>
    <w:rsid w:val="00B9741C"/>
    <w:rsid w:val="00BA315E"/>
    <w:rsid w:val="00BB364E"/>
    <w:rsid w:val="00BB5426"/>
    <w:rsid w:val="00BE1253"/>
    <w:rsid w:val="00C2395E"/>
    <w:rsid w:val="00C406EA"/>
    <w:rsid w:val="00C512D5"/>
    <w:rsid w:val="00C55658"/>
    <w:rsid w:val="00C66CCB"/>
    <w:rsid w:val="00C66DC0"/>
    <w:rsid w:val="00C726E4"/>
    <w:rsid w:val="00C972B5"/>
    <w:rsid w:val="00CA1457"/>
    <w:rsid w:val="00CA4074"/>
    <w:rsid w:val="00CA5066"/>
    <w:rsid w:val="00CB0445"/>
    <w:rsid w:val="00CB2717"/>
    <w:rsid w:val="00CC0502"/>
    <w:rsid w:val="00CC0B42"/>
    <w:rsid w:val="00CD0891"/>
    <w:rsid w:val="00CD5FD2"/>
    <w:rsid w:val="00CE66ED"/>
    <w:rsid w:val="00CF4E29"/>
    <w:rsid w:val="00D234E4"/>
    <w:rsid w:val="00D410E8"/>
    <w:rsid w:val="00D512A3"/>
    <w:rsid w:val="00D60123"/>
    <w:rsid w:val="00D80E0E"/>
    <w:rsid w:val="00D91536"/>
    <w:rsid w:val="00DB6324"/>
    <w:rsid w:val="00DC3BD3"/>
    <w:rsid w:val="00DD7A1D"/>
    <w:rsid w:val="00E049EB"/>
    <w:rsid w:val="00E12BA6"/>
    <w:rsid w:val="00E51214"/>
    <w:rsid w:val="00E53CE1"/>
    <w:rsid w:val="00E729E5"/>
    <w:rsid w:val="00EC48BF"/>
    <w:rsid w:val="00EE0396"/>
    <w:rsid w:val="00EE316A"/>
    <w:rsid w:val="00EE5609"/>
    <w:rsid w:val="00EE75AA"/>
    <w:rsid w:val="00EF59BA"/>
    <w:rsid w:val="00F1262E"/>
    <w:rsid w:val="00F23F3A"/>
    <w:rsid w:val="00F35E8A"/>
    <w:rsid w:val="00F45E64"/>
    <w:rsid w:val="00F50A55"/>
    <w:rsid w:val="00F52C96"/>
    <w:rsid w:val="00F55A08"/>
    <w:rsid w:val="00F91D10"/>
    <w:rsid w:val="00FA65AC"/>
    <w:rsid w:val="00FD5689"/>
    <w:rsid w:val="00FE0891"/>
    <w:rsid w:val="02560A28"/>
    <w:rsid w:val="0359745B"/>
    <w:rsid w:val="0A6341D7"/>
    <w:rsid w:val="0BD5E339"/>
    <w:rsid w:val="0E235796"/>
    <w:rsid w:val="0EC7F594"/>
    <w:rsid w:val="1366E151"/>
    <w:rsid w:val="158286FB"/>
    <w:rsid w:val="17BEB281"/>
    <w:rsid w:val="1A3676CD"/>
    <w:rsid w:val="1A44C82B"/>
    <w:rsid w:val="1D2BB151"/>
    <w:rsid w:val="1F02600C"/>
    <w:rsid w:val="21123015"/>
    <w:rsid w:val="22B60DD4"/>
    <w:rsid w:val="26AB8A62"/>
    <w:rsid w:val="29E293AC"/>
    <w:rsid w:val="2FAE203A"/>
    <w:rsid w:val="3116A168"/>
    <w:rsid w:val="321A0B9B"/>
    <w:rsid w:val="33969818"/>
    <w:rsid w:val="3408B3C3"/>
    <w:rsid w:val="3496033B"/>
    <w:rsid w:val="34F719E1"/>
    <w:rsid w:val="38D49D02"/>
    <w:rsid w:val="3DB8B27F"/>
    <w:rsid w:val="3E034275"/>
    <w:rsid w:val="3EA3F074"/>
    <w:rsid w:val="400F6A0A"/>
    <w:rsid w:val="41D1F8AD"/>
    <w:rsid w:val="45198AEC"/>
    <w:rsid w:val="457616A1"/>
    <w:rsid w:val="48E209F8"/>
    <w:rsid w:val="58492FE8"/>
    <w:rsid w:val="5854EE34"/>
    <w:rsid w:val="585E33FD"/>
    <w:rsid w:val="5979979D"/>
    <w:rsid w:val="5B3B7514"/>
    <w:rsid w:val="6A727559"/>
    <w:rsid w:val="6B75DF8C"/>
    <w:rsid w:val="6E0B2814"/>
    <w:rsid w:val="750DB20A"/>
    <w:rsid w:val="78A93394"/>
    <w:rsid w:val="7BB0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62B"/>
  <w15:chartTrackingRefBased/>
  <w15:docId w15:val="{101521E3-3367-48EA-8943-9DFA3E9D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BC4"/>
    <w:rPr>
      <w:color w:val="0000FF"/>
      <w:u w:val="single"/>
    </w:rPr>
  </w:style>
  <w:style w:type="table" w:styleId="TableGrid">
    <w:name w:val="Table Grid"/>
    <w:basedOn w:val="TableNormal"/>
    <w:uiPriority w:val="59"/>
    <w:rsid w:val="00271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271BC4"/>
    <w:pPr>
      <w:spacing w:after="0" w:line="240" w:lineRule="auto"/>
    </w:pPr>
    <w:rPr>
      <w:rFonts w:ascii="Verdana" w:eastAsia="Times New Roman" w:hAnsi="Verdana" w:cs="Arial"/>
      <w:sz w:val="20"/>
      <w:szCs w:val="20"/>
    </w:rPr>
  </w:style>
  <w:style w:type="character" w:customStyle="1" w:styleId="EndnoteTextChar">
    <w:name w:val="Endnote Text Char"/>
    <w:basedOn w:val="DefaultParagraphFont"/>
    <w:link w:val="EndnoteText"/>
    <w:uiPriority w:val="99"/>
    <w:semiHidden/>
    <w:rsid w:val="00271BC4"/>
    <w:rPr>
      <w:rFonts w:ascii="Verdana" w:eastAsia="Times New Roman" w:hAnsi="Verdana" w:cs="Arial"/>
      <w:sz w:val="20"/>
      <w:szCs w:val="20"/>
    </w:rPr>
  </w:style>
  <w:style w:type="character" w:styleId="EndnoteReference">
    <w:name w:val="endnote reference"/>
    <w:basedOn w:val="DefaultParagraphFont"/>
    <w:uiPriority w:val="99"/>
    <w:semiHidden/>
    <w:unhideWhenUsed/>
    <w:rsid w:val="00271BC4"/>
    <w:rPr>
      <w:rFonts w:cs="Times New Roman"/>
      <w:vertAlign w:val="superscript"/>
    </w:rPr>
  </w:style>
  <w:style w:type="paragraph" w:styleId="ListParagraph">
    <w:name w:val="List Paragraph"/>
    <w:basedOn w:val="Normal"/>
    <w:uiPriority w:val="34"/>
    <w:qFormat/>
    <w:rsid w:val="00271BC4"/>
    <w:pPr>
      <w:ind w:left="720"/>
      <w:contextualSpacing/>
    </w:pPr>
  </w:style>
  <w:style w:type="paragraph" w:styleId="NoSpacing">
    <w:name w:val="No Spacing"/>
    <w:uiPriority w:val="1"/>
    <w:qFormat/>
    <w:rsid w:val="00B16CF8"/>
    <w:pPr>
      <w:spacing w:after="0" w:line="240" w:lineRule="auto"/>
    </w:pPr>
  </w:style>
  <w:style w:type="character" w:styleId="UnresolvedMention">
    <w:name w:val="Unresolved Mention"/>
    <w:basedOn w:val="DefaultParagraphFont"/>
    <w:uiPriority w:val="99"/>
    <w:semiHidden/>
    <w:unhideWhenUsed/>
    <w:rsid w:val="00E51214"/>
    <w:rPr>
      <w:color w:val="605E5C"/>
      <w:shd w:val="clear" w:color="auto" w:fill="E1DFDD"/>
    </w:rPr>
  </w:style>
  <w:style w:type="paragraph" w:styleId="Header">
    <w:name w:val="header"/>
    <w:basedOn w:val="Normal"/>
    <w:link w:val="HeaderChar"/>
    <w:uiPriority w:val="99"/>
    <w:unhideWhenUsed/>
    <w:rsid w:val="00371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76B"/>
  </w:style>
  <w:style w:type="paragraph" w:styleId="Footer">
    <w:name w:val="footer"/>
    <w:basedOn w:val="Normal"/>
    <w:link w:val="FooterChar"/>
    <w:uiPriority w:val="99"/>
    <w:unhideWhenUsed/>
    <w:rsid w:val="00371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76B"/>
  </w:style>
  <w:style w:type="character" w:styleId="CommentReference">
    <w:name w:val="annotation reference"/>
    <w:basedOn w:val="DefaultParagraphFont"/>
    <w:uiPriority w:val="99"/>
    <w:semiHidden/>
    <w:unhideWhenUsed/>
    <w:rsid w:val="00A9560E"/>
    <w:rPr>
      <w:sz w:val="16"/>
      <w:szCs w:val="16"/>
    </w:rPr>
  </w:style>
  <w:style w:type="paragraph" w:styleId="CommentText">
    <w:name w:val="annotation text"/>
    <w:basedOn w:val="Normal"/>
    <w:link w:val="CommentTextChar"/>
    <w:uiPriority w:val="99"/>
    <w:unhideWhenUsed/>
    <w:rsid w:val="00A9560E"/>
    <w:pPr>
      <w:spacing w:line="240" w:lineRule="auto"/>
    </w:pPr>
    <w:rPr>
      <w:sz w:val="20"/>
      <w:szCs w:val="20"/>
    </w:rPr>
  </w:style>
  <w:style w:type="character" w:customStyle="1" w:styleId="CommentTextChar">
    <w:name w:val="Comment Text Char"/>
    <w:basedOn w:val="DefaultParagraphFont"/>
    <w:link w:val="CommentText"/>
    <w:uiPriority w:val="99"/>
    <w:rsid w:val="00A9560E"/>
    <w:rPr>
      <w:sz w:val="20"/>
      <w:szCs w:val="20"/>
    </w:rPr>
  </w:style>
  <w:style w:type="paragraph" w:styleId="CommentSubject">
    <w:name w:val="annotation subject"/>
    <w:basedOn w:val="CommentText"/>
    <w:next w:val="CommentText"/>
    <w:link w:val="CommentSubjectChar"/>
    <w:uiPriority w:val="99"/>
    <w:semiHidden/>
    <w:unhideWhenUsed/>
    <w:rsid w:val="00A9560E"/>
    <w:rPr>
      <w:b/>
      <w:bCs/>
    </w:rPr>
  </w:style>
  <w:style w:type="character" w:customStyle="1" w:styleId="CommentSubjectChar">
    <w:name w:val="Comment Subject Char"/>
    <w:basedOn w:val="CommentTextChar"/>
    <w:link w:val="CommentSubject"/>
    <w:uiPriority w:val="99"/>
    <w:semiHidden/>
    <w:rsid w:val="00A9560E"/>
    <w:rPr>
      <w:b/>
      <w:bCs/>
      <w:sz w:val="20"/>
      <w:szCs w:val="20"/>
    </w:rPr>
  </w:style>
  <w:style w:type="character" w:styleId="Mention">
    <w:name w:val="Mention"/>
    <w:basedOn w:val="DefaultParagraphFont"/>
    <w:uiPriority w:val="99"/>
    <w:unhideWhenUsed/>
    <w:rsid w:val="005D0343"/>
    <w:rPr>
      <w:color w:val="2B579A"/>
      <w:shd w:val="clear" w:color="auto" w:fill="E1DFDD"/>
    </w:rPr>
  </w:style>
  <w:style w:type="paragraph" w:styleId="Revision">
    <w:name w:val="Revision"/>
    <w:hidden/>
    <w:uiPriority w:val="99"/>
    <w:semiHidden/>
    <w:rsid w:val="00092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1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ffairs@independentag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ndependentage.org/campaigns/PensionCredit/cost-report" TargetMode="External"/><Relationship Id="rId2" Type="http://schemas.openxmlformats.org/officeDocument/2006/relationships/hyperlink" Target="https://www.gov.uk/government/statistics/income-related-benefits-estimates-of-take-up-financial-year-2019-to-2020" TargetMode="External"/><Relationship Id="rId1" Type="http://schemas.openxmlformats.org/officeDocument/2006/relationships/hyperlink" Target="https://www.gov.uk/government/statistics/income-related-benefits-estimates-of-take-up-financial-year-2019-t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ed7a9f-a3b5-43b1-84e0-c1b0f261f30f" xsi:nil="true"/>
    <lcf76f155ced4ddcb4097134ff3c332f xmlns="97a0a683-000e-4673-a1e5-90ffbe67906a">
      <Terms xmlns="http://schemas.microsoft.com/office/infopath/2007/PartnerControls"/>
    </lcf76f155ced4ddcb4097134ff3c332f>
    <SharedWithUsers xmlns="eeed7a9f-a3b5-43b1-84e0-c1b0f261f30f">
      <UserInfo>
        <DisplayName>Phil Mawhinney (He/Him)</DisplayName>
        <AccountId>13</AccountId>
        <AccountType/>
      </UserInfo>
      <UserInfo>
        <DisplayName>Thomas Wilson (He/Him)</DisplayName>
        <AccountId>15</AccountId>
        <AccountType/>
      </UserInfo>
      <UserInfo>
        <DisplayName>Isobel Roberts</DisplayName>
        <AccountId>58</AccountId>
        <AccountType/>
      </UserInfo>
      <UserInfo>
        <DisplayName>Erika Chabén (She/Her)</DisplayName>
        <AccountId>169</AccountId>
        <AccountType/>
      </UserInfo>
      <UserInfo>
        <DisplayName>Morgan Vine (She/Her)</DisplayName>
        <AccountId>17</AccountId>
        <AccountType/>
      </UserInfo>
      <UserInfo>
        <DisplayName>Josh Murray (He/Him)</DisplayName>
        <AccountId>167</AccountId>
        <AccountType/>
      </UserInfo>
      <UserInfo>
        <DisplayName>George Stanbury (He/Him)</DisplayName>
        <AccountId>163</AccountId>
        <AccountType/>
      </UserInfo>
      <UserInfo>
        <DisplayName>Shelley Hopkinson (She/Her)</DisplayName>
        <AccountId>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8B53EB7859B545B1BA0ADC9CE5C9A5" ma:contentTypeVersion="16" ma:contentTypeDescription="Create a new document." ma:contentTypeScope="" ma:versionID="734dff9a52816db4647cdc8104ab9079">
  <xsd:schema xmlns:xsd="http://www.w3.org/2001/XMLSchema" xmlns:xs="http://www.w3.org/2001/XMLSchema" xmlns:p="http://schemas.microsoft.com/office/2006/metadata/properties" xmlns:ns2="97a0a683-000e-4673-a1e5-90ffbe67906a" xmlns:ns3="eeed7a9f-a3b5-43b1-84e0-c1b0f261f30f" targetNamespace="http://schemas.microsoft.com/office/2006/metadata/properties" ma:root="true" ma:fieldsID="9cd34e073574323595ec8e23e7d2a894" ns2:_="" ns3:_="">
    <xsd:import namespace="97a0a683-000e-4673-a1e5-90ffbe67906a"/>
    <xsd:import namespace="eeed7a9f-a3b5-43b1-84e0-c1b0f261f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0a683-000e-4673-a1e5-90ffbe679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a7aff7-28ba-4b8d-9256-e506f52fe6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ed7a9f-a3b5-43b1-84e0-c1b0f261f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4439a5-f94f-4359-a1c1-bb2c253c1935}" ma:internalName="TaxCatchAll" ma:showField="CatchAllData" ma:web="eeed7a9f-a3b5-43b1-84e0-c1b0f261f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A341D-6DBE-4579-81E2-029A8BB7B60E}">
  <ds:schemaRefs>
    <ds:schemaRef ds:uri="http://schemas.microsoft.com/sharepoint/v3/contenttype/forms"/>
  </ds:schemaRefs>
</ds:datastoreItem>
</file>

<file path=customXml/itemProps2.xml><?xml version="1.0" encoding="utf-8"?>
<ds:datastoreItem xmlns:ds="http://schemas.openxmlformats.org/officeDocument/2006/customXml" ds:itemID="{493EAAC9-3C0F-4D41-915F-090266D6271E}">
  <ds:schemaRefs>
    <ds:schemaRef ds:uri="http://schemas.openxmlformats.org/officeDocument/2006/bibliography"/>
  </ds:schemaRefs>
</ds:datastoreItem>
</file>

<file path=customXml/itemProps3.xml><?xml version="1.0" encoding="utf-8"?>
<ds:datastoreItem xmlns:ds="http://schemas.openxmlformats.org/officeDocument/2006/customXml" ds:itemID="{CC0FF4DA-82C1-4BCB-9142-C8C80272E710}">
  <ds:schemaRefs>
    <ds:schemaRef ds:uri="http://schemas.microsoft.com/office/2006/metadata/properties"/>
    <ds:schemaRef ds:uri="http://schemas.microsoft.com/office/infopath/2007/PartnerControls"/>
    <ds:schemaRef ds:uri="eeed7a9f-a3b5-43b1-84e0-c1b0f261f30f"/>
    <ds:schemaRef ds:uri="97a0a683-000e-4673-a1e5-90ffbe67906a"/>
  </ds:schemaRefs>
</ds:datastoreItem>
</file>

<file path=customXml/itemProps4.xml><?xml version="1.0" encoding="utf-8"?>
<ds:datastoreItem xmlns:ds="http://schemas.openxmlformats.org/officeDocument/2006/customXml" ds:itemID="{197419F2-5014-4C07-9C7F-F1B3F814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0a683-000e-4673-a1e5-90ffbe67906a"/>
    <ds:schemaRef ds:uri="eeed7a9f-a3b5-43b1-84e0-c1b0f261f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Hopkinson (She/Her)</dc:creator>
  <cp:keywords/>
  <dc:description/>
  <cp:lastModifiedBy>Shelley Hopkinson (She/Her)</cp:lastModifiedBy>
  <cp:revision>129</cp:revision>
  <cp:lastPrinted>2022-09-22T20:09:00Z</cp:lastPrinted>
  <dcterms:created xsi:type="dcterms:W3CDTF">2022-11-14T22:00:00Z</dcterms:created>
  <dcterms:modified xsi:type="dcterms:W3CDTF">2022-11-15T23:12:00Z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9e64ff-2ca1-489d-af79-80f5d21ef870_Enabled">
    <vt:lpwstr>true</vt:lpwstr>
  </property>
  <property fmtid="{D5CDD505-2E9C-101B-9397-08002B2CF9AE}" pid="3" name="MSIP_Label_7c9e64ff-2ca1-489d-af79-80f5d21ef870_SetDate">
    <vt:lpwstr>2022-09-13T08:53:40Z</vt:lpwstr>
  </property>
  <property fmtid="{D5CDD505-2E9C-101B-9397-08002B2CF9AE}" pid="4" name="MSIP_Label_7c9e64ff-2ca1-489d-af79-80f5d21ef870_Method">
    <vt:lpwstr>Standard</vt:lpwstr>
  </property>
  <property fmtid="{D5CDD505-2E9C-101B-9397-08002B2CF9AE}" pid="5" name="MSIP_Label_7c9e64ff-2ca1-489d-af79-80f5d21ef870_Name">
    <vt:lpwstr>Unclassified</vt:lpwstr>
  </property>
  <property fmtid="{D5CDD505-2E9C-101B-9397-08002B2CF9AE}" pid="6" name="MSIP_Label_7c9e64ff-2ca1-489d-af79-80f5d21ef870_SiteId">
    <vt:lpwstr>61191ab0-dcb3-464c-baf4-95ae4e245da4</vt:lpwstr>
  </property>
  <property fmtid="{D5CDD505-2E9C-101B-9397-08002B2CF9AE}" pid="7" name="MSIP_Label_7c9e64ff-2ca1-489d-af79-80f5d21ef870_ActionId">
    <vt:lpwstr>d8d8a766-4cad-41e7-b7f1-44014b41d31f</vt:lpwstr>
  </property>
  <property fmtid="{D5CDD505-2E9C-101B-9397-08002B2CF9AE}" pid="8" name="MSIP_Label_7c9e64ff-2ca1-489d-af79-80f5d21ef870_ContentBits">
    <vt:lpwstr>0</vt:lpwstr>
  </property>
  <property fmtid="{D5CDD505-2E9C-101B-9397-08002B2CF9AE}" pid="9" name="ContentTypeId">
    <vt:lpwstr>0x010100E18B53EB7859B545B1BA0ADC9CE5C9A5</vt:lpwstr>
  </property>
  <property fmtid="{D5CDD505-2E9C-101B-9397-08002B2CF9AE}" pid="10" name="MediaServiceImageTags">
    <vt:lpwstr/>
  </property>
</Properties>
</file>